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黑体" w:eastAsia="黑体"/>
          <w:sz w:val="44"/>
          <w:szCs w:val="44"/>
        </w:rPr>
      </w:pPr>
      <w:r>
        <w:rPr>
          <w:rFonts w:hint="eastAsia" w:ascii="黑体" w:eastAsia="黑体"/>
          <w:sz w:val="44"/>
          <w:szCs w:val="44"/>
        </w:rPr>
        <w:t>西湖区环卫综合服务公司</w:t>
      </w: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第一部分  西湖区环卫综合服务公司部门概况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b/>
          <w:sz w:val="32"/>
          <w:szCs w:val="32"/>
        </w:rPr>
      </w:pPr>
      <w:r>
        <w:rPr>
          <w:rFonts w:hint="eastAsia" w:ascii="仿宋" w:hAnsi="仿宋" w:eastAsia="仿宋" w:cs="宋体"/>
          <w:kern w:val="0"/>
          <w:sz w:val="32"/>
          <w:szCs w:val="32"/>
        </w:rPr>
        <w:t xml:space="preserve">    </w:t>
      </w:r>
      <w:r>
        <w:rPr>
          <w:rFonts w:hint="eastAsia" w:ascii="黑体" w:hAnsi="黑体" w:eastAsia="黑体"/>
          <w:b/>
          <w:sz w:val="32"/>
          <w:szCs w:val="32"/>
        </w:rPr>
        <w:t>第三部分  2020年度部门决算情况说明</w:t>
      </w:r>
    </w:p>
    <w:p>
      <w:pPr>
        <w:widowControl/>
        <w:spacing w:line="600" w:lineRule="exact"/>
        <w:ind w:firstLine="1285" w:firstLineChars="400"/>
        <w:jc w:val="left"/>
        <w:rPr>
          <w:rFonts w:ascii="仿宋_GB2312" w:hAnsi="仿宋_GB2312" w:eastAsia="仿宋_GB2312"/>
          <w:b/>
          <w:sz w:val="32"/>
          <w:szCs w:val="30"/>
        </w:rPr>
      </w:pPr>
      <w:r>
        <w:rPr>
          <w:rFonts w:hint="eastAsia" w:ascii="仿宋_GB2312" w:hAnsi="仿宋_GB2312" w:eastAsia="仿宋_GB2312"/>
          <w:b/>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312" w:beforeLines="100" w:after="312"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黑体" w:eastAsia="黑体"/>
          <w:bCs/>
          <w:sz w:val="32"/>
          <w:szCs w:val="32"/>
        </w:rPr>
        <w:t>西湖区环卫综合服务公司部门概况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ind w:firstLine="630"/>
        <w:jc w:val="left"/>
        <w:rPr>
          <w:rFonts w:ascii="仿宋_GB2312" w:hAnsi="仿宋_GB2312" w:eastAsia="仿宋_GB2312"/>
          <w:sz w:val="32"/>
          <w:szCs w:val="30"/>
        </w:rPr>
      </w:pPr>
      <w:r>
        <w:rPr>
          <w:rFonts w:hint="eastAsia" w:ascii="仿宋_GB2312" w:eastAsia="仿宋_GB2312"/>
          <w:sz w:val="32"/>
          <w:szCs w:val="32"/>
        </w:rPr>
        <w:t>维护城市市容环境卫生管理,城市环境卫生设施营造与维护,城市环境卫生作业管理,交通工具密闭运输与外观清洁管理。</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纳入本套部门决算汇编范围的单位共1个。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1人，其中在职人员1人，离休人员0人，退休人员 0人；年末其他人员22人；年末学生人数0人。</w:t>
      </w:r>
    </w:p>
    <w:p>
      <w:pPr>
        <w:widowControl/>
        <w:spacing w:line="600" w:lineRule="exact"/>
        <w:rPr>
          <w:rFonts w:ascii="宋体" w:hAnsi="宋体"/>
          <w:b/>
          <w:sz w:val="32"/>
          <w:szCs w:val="32"/>
        </w:rPr>
      </w:pPr>
    </w:p>
    <w:p>
      <w:pPr>
        <w:spacing w:before="312" w:beforeLines="100" w:after="312" w:afterLines="100"/>
        <w:ind w:firstLine="1760" w:firstLineChars="550"/>
        <w:rPr>
          <w:rFonts w:ascii="黑体" w:hAnsi="黑体" w:eastAsia="黑体"/>
          <w:bCs/>
          <w:sz w:val="32"/>
          <w:szCs w:val="32"/>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cs="宋体"/>
          <w:kern w:val="0"/>
          <w:sz w:val="32"/>
          <w:szCs w:val="32"/>
        </w:rPr>
        <w:t xml:space="preserve">  </w:t>
      </w: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九、国有资产占用情况表</w:t>
      </w:r>
    </w:p>
    <w:p>
      <w:pPr>
        <w:spacing w:before="312" w:beforeLines="100" w:after="312" w:afterLines="100"/>
        <w:ind w:left="319" w:leftChars="152" w:firstLine="480" w:firstLineChars="15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本部门2020年度收入总计195.67万元，其中年初结转和结余10.47万元，较2019年减少45.74万元，下降19.07%；本年收入合计185.19万元，较2019年减少39.95万元，下降17.74，主要原因是经费减少。</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本年收入的具体构成为：财政拨款收入185.19万元，占100 %；事业收入0 万元，占0%；经营收入0万元，占0%；其他收入 0万元，占0%。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195.67万元，其中本年支出合计195.67万元，较2019年减少45.74万元，下降19.07 %；年末结转和结余10.47万元，较2019年减少5.8万元，下降35.65%。</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本年支出的具体构成为：基本支出14.60万元，占7.46 %；项目支出181.07万元，占92.54%；经营支出0万元，占0%；其他支出（对附属单位补助支出、上缴上级支出）0万元，占0 %。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本部门2020年度财政拨款本年支出年初预算数为185.19万元，决算数为185.19万元。其中：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（一）一般公共服务支出年初预算数为185.19万元，决算数为185.19万元。</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（二）公共安全支出年初预算数为0万元，决算数为0万元，完成年初预算的0%。</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本部门2020年度一般公共预算财政拨款基本支出14.6万元，其中：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（一）工资福利支出9.82万元，较2019年减少28.62万元，增长74.45 %。</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（二）商品和服务支出4.78万元，较2019年减少8.27万元，下降63.37%。</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0元，较2019年增加（减少）0万元，增长（下降）0 %，主要原因是：无此项支出。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（四）资本性支出0万元，较2019年增加（减少）0万元，增长（下降）0%，主要原因是：无此项支出。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本部门2020年度一般公共预算财政拨款“三公”经费支出年初预算数为0万元，决算数为0万元，完成预算的0%，决算数较2019年增加（减少）0万元，增长（下降）0 %，其中：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（一）因公出国（境）支出年初预算数为0万元，决算数为 0万元，完成预算的 %，决算数较2019年增加（减少）  万元，增长（下降）0%。决算数较年初预算数增加（减少）的主要原因是：无预算安排。</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0万元，决算数为  万元，完成预算的无预算安排0%，决算数较2019年增加（减少） 0 万元，增长（下降）0  %。决算数较年初预算数增加（减少）的主要原因是：无预算安排。</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0万元，其中公务用车购置年初预算数为0万元，决算数为0万元，完成预算的0 %，决算数较2019年增加（减少）0万元，增长（下降）0 %。决算数较年初预算数增加（减少）的主要原因是：无预算安排；公务用车运行维护费支出年初预算数为 0 万元，决算数为0万元，完成预算的0 %，决算数较2019年增加（减少）0万元，增长（下降）0 %。决算数较年初预算数增加（减少）的主要原因是：无预算安排。</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本部门2020年度机关运行经费支出4.78万元（与部门决算中行政单位和参照公务员法管理事业单位一般公共预算财政拨款基本支出中公用经费之和保持一致）。 </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widowControl/>
        <w:spacing w:line="600" w:lineRule="atLeast"/>
        <w:ind w:firstLine="600"/>
        <w:rPr>
          <w:rFonts w:ascii="仿宋_GB2312" w:hAnsi="仿宋_GB2312" w:eastAsia="仿宋_GB2312"/>
          <w:kern w:val="0"/>
          <w:sz w:val="32"/>
          <w:szCs w:val="30"/>
        </w:rPr>
      </w:pPr>
      <w:r>
        <w:rPr>
          <w:rFonts w:hint="eastAsia" w:ascii="仿宋_GB2312" w:hAnsi="仿宋_GB2312" w:eastAsia="仿宋_GB2312"/>
          <w:kern w:val="0"/>
          <w:sz w:val="32"/>
          <w:szCs w:val="30"/>
        </w:rPr>
        <w:t>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w:t>
      </w:r>
      <w:bookmarkStart w:id="0" w:name="_GoBack"/>
      <w:bookmarkEnd w:id="0"/>
      <w:r>
        <w:rPr>
          <w:rFonts w:hint="eastAsia" w:ascii="仿宋_GB2312" w:hAnsi="仿宋_GB2312" w:eastAsia="仿宋_GB2312"/>
          <w:kern w:val="0"/>
          <w:sz w:val="32"/>
          <w:szCs w:val="30"/>
        </w:rPr>
        <w:t>09表《国有资产占用情况表》。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根据预算绩效管理要求，我部门组织对2020年度一般公共预算项目支出全面开展绩效自评，其中，一级项目4个，</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组织对“公厕吸污车经费”、“果壳箱经费”等4个项目开展了部门评价。</w:t>
      </w:r>
      <w:r>
        <w:rPr>
          <w:rFonts w:hint="eastAsia" w:ascii="仿宋" w:hAnsi="仿宋" w:eastAsia="仿宋" w:cs="仿宋"/>
          <w:color w:val="000000"/>
          <w:kern w:val="0"/>
          <w:sz w:val="32"/>
          <w:szCs w:val="32"/>
        </w:rPr>
        <w:t>从评价情况来看，2020年，各项目单位均能充分发挥区级财政资金的作用，将绩效管理机制纳入项目预算管理，较好地完成了各项目的年度绩效目标，确保了区级财政资金的使用效益和效率。</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我部门今年在级部门决算中反映公厕吸污车经费项目绩效自评结果。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公厕吸污车经费项目绩效自评综述：</w:t>
      </w:r>
      <w:r>
        <w:rPr>
          <w:rFonts w:hint="eastAsia" w:ascii="仿宋" w:hAnsi="仿宋" w:eastAsia="仿宋" w:cs="仿宋"/>
          <w:color w:val="000000" w:themeColor="text1"/>
          <w:sz w:val="32"/>
          <w:szCs w:val="32"/>
          <w14:textFill>
            <w14:solidFill>
              <w14:schemeClr w14:val="tx1"/>
            </w14:solidFill>
          </w14:textFill>
        </w:rPr>
        <w:t>按照市、区两级关于城市管理的总体部署要求，不断提升城市管理质量效益。</w:t>
      </w:r>
      <w:r>
        <w:rPr>
          <w:rFonts w:hint="eastAsia" w:ascii="仿宋_GB2312" w:hAnsi="仿宋_GB2312" w:eastAsia="仿宋_GB2312" w:cs="仿宋_GB2312"/>
          <w:kern w:val="0"/>
          <w:sz w:val="32"/>
          <w:szCs w:val="30"/>
        </w:rPr>
        <w:t>根据年初设定的绩效目标，项目绩效自评得分为93分，</w:t>
      </w:r>
      <w:r>
        <w:rPr>
          <w:rFonts w:hint="eastAsia" w:ascii="仿宋" w:hAnsi="仿宋" w:eastAsia="仿宋"/>
          <w:color w:val="000000" w:themeColor="text1"/>
          <w:sz w:val="32"/>
          <w:szCs w:val="32"/>
          <w14:textFill>
            <w14:solidFill>
              <w14:schemeClr w14:val="tx1"/>
            </w14:solidFill>
          </w14:textFill>
        </w:rPr>
        <w:t>项目绩效评价等级为“优秀”。</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w:t>
      </w:r>
    </w:p>
    <w:p>
      <w:pPr>
        <w:widowControl/>
        <w:spacing w:line="600" w:lineRule="exact"/>
        <w:rPr>
          <w:rFonts w:ascii="宋体" w:hAnsi="宋体"/>
          <w:b/>
          <w:sz w:val="32"/>
          <w:szCs w:val="32"/>
        </w:rPr>
      </w:pPr>
      <w:r>
        <w:rPr>
          <w:rFonts w:hint="eastAsia" w:ascii="仿宋_GB2312" w:hAnsi="仿宋_GB2312" w:eastAsia="仿宋_GB2312" w:cs="仿宋_GB2312"/>
          <w:kern w:val="0"/>
          <w:sz w:val="32"/>
          <w:szCs w:val="30"/>
        </w:rPr>
        <w:t xml:space="preserve">    附：《项目支出绩效自评表》。</w:t>
      </w:r>
    </w:p>
    <w:tbl>
      <w:tblPr>
        <w:tblStyle w:val="5"/>
        <w:tblW w:w="9033" w:type="dxa"/>
        <w:jc w:val="center"/>
        <w:tblLayout w:type="fixed"/>
        <w:tblCellMar>
          <w:top w:w="0" w:type="dxa"/>
          <w:left w:w="108" w:type="dxa"/>
          <w:bottom w:w="0" w:type="dxa"/>
          <w:right w:w="108" w:type="dxa"/>
        </w:tblCellMar>
      </w:tblPr>
      <w:tblGrid>
        <w:gridCol w:w="586"/>
        <w:gridCol w:w="969"/>
        <w:gridCol w:w="1275"/>
        <w:gridCol w:w="1972"/>
        <w:gridCol w:w="1115"/>
        <w:gridCol w:w="770"/>
        <w:gridCol w:w="476"/>
        <w:gridCol w:w="574"/>
        <w:gridCol w:w="1296"/>
      </w:tblGrid>
      <w:tr>
        <w:tblPrEx>
          <w:tblCellMar>
            <w:top w:w="0" w:type="dxa"/>
            <w:left w:w="108" w:type="dxa"/>
            <w:bottom w:w="0" w:type="dxa"/>
            <w:right w:w="108" w:type="dxa"/>
          </w:tblCellMar>
        </w:tblPrEx>
        <w:trPr>
          <w:trHeight w:val="302" w:hRule="exact"/>
          <w:jc w:val="center"/>
        </w:trPr>
        <w:tc>
          <w:tcPr>
            <w:tcW w:w="586" w:type="dxa"/>
            <w:vMerge w:val="restart"/>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年度总体目标</w:t>
            </w:r>
          </w:p>
        </w:tc>
        <w:tc>
          <w:tcPr>
            <w:tcW w:w="5331" w:type="dxa"/>
            <w:gridSpan w:val="4"/>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预期目标</w:t>
            </w:r>
          </w:p>
        </w:tc>
        <w:tc>
          <w:tcPr>
            <w:tcW w:w="3116" w:type="dxa"/>
            <w:gridSpan w:val="4"/>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实际完成情况</w:t>
            </w:r>
          </w:p>
        </w:tc>
      </w:tr>
      <w:tr>
        <w:tblPrEx>
          <w:tblCellMar>
            <w:top w:w="0" w:type="dxa"/>
            <w:left w:w="108" w:type="dxa"/>
            <w:bottom w:w="0" w:type="dxa"/>
            <w:right w:w="108" w:type="dxa"/>
          </w:tblCellMar>
        </w:tblPrEx>
        <w:trPr>
          <w:trHeight w:val="852" w:hRule="exact"/>
          <w:jc w:val="center"/>
        </w:trPr>
        <w:tc>
          <w:tcPr>
            <w:tcW w:w="586"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5331" w:type="dxa"/>
            <w:gridSpan w:val="4"/>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eastAsia="黑体"/>
                <w:color w:val="000000"/>
                <w:sz w:val="18"/>
                <w:szCs w:val="18"/>
              </w:rPr>
              <w:t>对我区公厕吸污车进行日常管养工作，保障厕所吸污作业顺利推进。</w:t>
            </w:r>
          </w:p>
        </w:tc>
        <w:tc>
          <w:tcPr>
            <w:tcW w:w="3116" w:type="dxa"/>
            <w:gridSpan w:val="4"/>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eastAsia="黑体"/>
                <w:color w:val="000000"/>
                <w:sz w:val="18"/>
                <w:szCs w:val="18"/>
              </w:rPr>
              <w:t>完成我区公厕吸污车的日常管养护工作，保障了厕所吸污作业顺利推进。</w:t>
            </w:r>
          </w:p>
        </w:tc>
      </w:tr>
      <w:tr>
        <w:tblPrEx>
          <w:tblCellMar>
            <w:top w:w="0" w:type="dxa"/>
            <w:left w:w="108" w:type="dxa"/>
            <w:bottom w:w="0" w:type="dxa"/>
            <w:right w:w="108" w:type="dxa"/>
          </w:tblCellMar>
        </w:tblPrEx>
        <w:trPr>
          <w:trHeight w:val="735" w:hRule="exact"/>
          <w:jc w:val="center"/>
        </w:trPr>
        <w:tc>
          <w:tcPr>
            <w:tcW w:w="586" w:type="dxa"/>
            <w:vMerge w:val="restart"/>
            <w:tcBorders>
              <w:top w:val="nil"/>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绩</w:t>
            </w:r>
            <w:r>
              <w:rPr>
                <w:rFonts w:hint="eastAsia" w:ascii="黑体" w:eastAsia="黑体"/>
                <w:color w:val="000000"/>
                <w:sz w:val="20"/>
              </w:rPr>
              <w:br w:type="textWrapping"/>
            </w:r>
            <w:r>
              <w:rPr>
                <w:rFonts w:hint="eastAsia" w:ascii="黑体" w:eastAsia="黑体"/>
                <w:color w:val="000000"/>
                <w:sz w:val="20"/>
              </w:rPr>
              <w:t>效</w:t>
            </w:r>
            <w:r>
              <w:rPr>
                <w:rFonts w:hint="eastAsia" w:ascii="黑体" w:eastAsia="黑体"/>
                <w:color w:val="000000"/>
                <w:sz w:val="20"/>
              </w:rPr>
              <w:br w:type="textWrapping"/>
            </w:r>
            <w:r>
              <w:rPr>
                <w:rFonts w:hint="eastAsia" w:ascii="黑体" w:eastAsia="黑体"/>
                <w:color w:val="000000"/>
                <w:sz w:val="20"/>
              </w:rPr>
              <w:t>指</w:t>
            </w:r>
            <w:r>
              <w:rPr>
                <w:rFonts w:hint="eastAsia" w:ascii="黑体" w:eastAsia="黑体"/>
                <w:color w:val="000000"/>
                <w:sz w:val="20"/>
              </w:rPr>
              <w:br w:type="textWrapping"/>
            </w:r>
            <w:r>
              <w:rPr>
                <w:rFonts w:hint="eastAsia" w:ascii="黑体" w:eastAsia="黑体"/>
                <w:color w:val="000000"/>
                <w:sz w:val="20"/>
              </w:rPr>
              <w:t>标</w:t>
            </w:r>
          </w:p>
        </w:tc>
        <w:tc>
          <w:tcPr>
            <w:tcW w:w="969"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一级</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指标</w:t>
            </w:r>
          </w:p>
        </w:tc>
        <w:tc>
          <w:tcPr>
            <w:tcW w:w="127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二级指标</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三级指标</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年度</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指标值</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实际</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完成值</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分值</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得分</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偏差原因分析及改进措施</w:t>
            </w:r>
          </w:p>
        </w:tc>
      </w:tr>
      <w:tr>
        <w:tblPrEx>
          <w:tblCellMar>
            <w:top w:w="0" w:type="dxa"/>
            <w:left w:w="108" w:type="dxa"/>
            <w:bottom w:w="0" w:type="dxa"/>
            <w:right w:w="108" w:type="dxa"/>
          </w:tblCellMar>
        </w:tblPrEx>
        <w:trPr>
          <w:trHeight w:val="482"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restart"/>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产出</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(50分）</w:t>
            </w:r>
          </w:p>
        </w:tc>
        <w:tc>
          <w:tcPr>
            <w:tcW w:w="1275" w:type="dxa"/>
            <w:vMerge w:val="restart"/>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数量指标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（20分）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管护吸污车</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1</w:t>
            </w:r>
            <w:r>
              <w:rPr>
                <w:rFonts w:hint="eastAsia" w:ascii="黑体" w:eastAsia="黑体"/>
                <w:color w:val="000000"/>
                <w:sz w:val="20"/>
              </w:rPr>
              <w:t>辆</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1</w:t>
            </w:r>
            <w:r>
              <w:rPr>
                <w:rFonts w:hint="eastAsia" w:ascii="黑体" w:eastAsia="黑体"/>
                <w:color w:val="000000"/>
                <w:sz w:val="20"/>
              </w:rPr>
              <w:t>辆</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560"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吸污工作人员月均</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12</w:t>
            </w:r>
            <w:r>
              <w:rPr>
                <w:rFonts w:hint="eastAsia" w:ascii="黑体" w:eastAsia="黑体"/>
                <w:color w:val="000000"/>
                <w:sz w:val="20"/>
              </w:rPr>
              <w:t>人</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12</w:t>
            </w:r>
            <w:r>
              <w:rPr>
                <w:rFonts w:hint="eastAsia" w:ascii="黑体" w:eastAsia="黑体"/>
                <w:color w:val="000000"/>
                <w:sz w:val="20"/>
              </w:rPr>
              <w:t>人</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10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10</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590"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质量指标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（15分）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车辆正常使用率</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5</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5</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676"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时效指标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（5分）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吸污工作完成及时率</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5</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5</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572"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成本指标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（10分）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成本控制率</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580"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restart"/>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效益</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(30分）</w:t>
            </w: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经济效益</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指标</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eastAsia="黑体"/>
                <w:color w:val="000000"/>
                <w:sz w:val="18"/>
                <w:szCs w:val="18"/>
              </w:rPr>
              <w:t>无</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736"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社会效益</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 xml:space="preserve">指标 </w:t>
            </w:r>
            <w:r>
              <w:rPr>
                <w:rFonts w:ascii="黑体" w:eastAsia="黑体"/>
                <w:color w:val="000000"/>
                <w:sz w:val="20"/>
              </w:rPr>
              <w:t xml:space="preserve">    </w:t>
            </w:r>
            <w:r>
              <w:rPr>
                <w:rFonts w:hint="eastAsia" w:ascii="黑体" w:eastAsia="黑体"/>
                <w:color w:val="000000"/>
                <w:sz w:val="20"/>
              </w:rPr>
              <w:t>（1</w:t>
            </w:r>
            <w:r>
              <w:rPr>
                <w:rFonts w:ascii="黑体" w:eastAsia="黑体"/>
                <w:color w:val="000000"/>
                <w:sz w:val="20"/>
              </w:rPr>
              <w:t>0</w:t>
            </w:r>
            <w:r>
              <w:rPr>
                <w:rFonts w:hint="eastAsia" w:ascii="黑体" w:eastAsia="黑体"/>
                <w:color w:val="000000"/>
                <w:sz w:val="20"/>
              </w:rPr>
              <w:t>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市民投诉同比下降率</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5%</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3</w:t>
            </w:r>
            <w:r>
              <w:rPr>
                <w:rFonts w:ascii="黑体" w:eastAsia="黑体"/>
                <w:color w:val="000000"/>
                <w:sz w:val="20"/>
              </w:rPr>
              <w:t>%</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6</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704"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生态效益</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 xml:space="preserve">指标 </w:t>
            </w:r>
            <w:r>
              <w:rPr>
                <w:rFonts w:ascii="黑体" w:eastAsia="黑体"/>
                <w:color w:val="000000"/>
                <w:sz w:val="20"/>
              </w:rPr>
              <w:t xml:space="preserve">    </w:t>
            </w:r>
            <w:r>
              <w:rPr>
                <w:rFonts w:hint="eastAsia" w:ascii="黑体" w:eastAsia="黑体"/>
                <w:color w:val="000000"/>
                <w:sz w:val="20"/>
              </w:rPr>
              <w:t>（1</w:t>
            </w:r>
            <w:r>
              <w:rPr>
                <w:rFonts w:ascii="黑体" w:eastAsia="黑体"/>
                <w:color w:val="000000"/>
                <w:sz w:val="20"/>
              </w:rPr>
              <w:t>0</w:t>
            </w:r>
            <w:r>
              <w:rPr>
                <w:rFonts w:hint="eastAsia" w:ascii="黑体" w:eastAsia="黑体"/>
                <w:color w:val="000000"/>
                <w:sz w:val="20"/>
              </w:rPr>
              <w:t>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公厕下水道通畅无外溢</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9</w:t>
            </w:r>
            <w:r>
              <w:rPr>
                <w:rFonts w:ascii="黑体" w:eastAsia="黑体"/>
                <w:color w:val="000000"/>
                <w:sz w:val="20"/>
              </w:rPr>
              <w:t>0%</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9</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718"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vMerge w:val="continue"/>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 xml:space="preserve">可持续影响指标 </w:t>
            </w:r>
            <w:r>
              <w:rPr>
                <w:rFonts w:ascii="黑体" w:eastAsia="黑体"/>
                <w:color w:val="000000"/>
                <w:sz w:val="20"/>
              </w:rPr>
              <w:t xml:space="preserve">      </w:t>
            </w:r>
            <w:r>
              <w:rPr>
                <w:rFonts w:hint="eastAsia" w:ascii="黑体" w:eastAsia="黑体"/>
                <w:color w:val="000000"/>
                <w:sz w:val="20"/>
              </w:rPr>
              <w:t>（1</w:t>
            </w:r>
            <w:r>
              <w:rPr>
                <w:rFonts w:ascii="黑体" w:eastAsia="黑体"/>
                <w:color w:val="000000"/>
                <w:sz w:val="20"/>
              </w:rPr>
              <w:t>0</w:t>
            </w:r>
            <w:r>
              <w:rPr>
                <w:rFonts w:hint="eastAsia" w:ascii="黑体" w:eastAsia="黑体"/>
                <w:color w:val="000000"/>
                <w:sz w:val="20"/>
              </w:rPr>
              <w:t>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eastAsia="黑体"/>
                <w:color w:val="000000"/>
                <w:sz w:val="18"/>
                <w:szCs w:val="18"/>
              </w:rPr>
              <w:t>项目的可复制性</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00%</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1140" w:hRule="exact"/>
          <w:jc w:val="center"/>
        </w:trPr>
        <w:tc>
          <w:tcPr>
            <w:tcW w:w="586" w:type="dxa"/>
            <w:vMerge w:val="continue"/>
            <w:tcBorders>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969" w:type="dxa"/>
            <w:tcBorders>
              <w:top w:val="nil"/>
              <w:left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满意度</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指标</w:t>
            </w:r>
          </w:p>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(10分）</w:t>
            </w:r>
          </w:p>
        </w:tc>
        <w:tc>
          <w:tcPr>
            <w:tcW w:w="1275" w:type="dxa"/>
            <w:tcBorders>
              <w:top w:val="nil"/>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 xml:space="preserve">服务对象满意度指标 </w:t>
            </w:r>
            <w:r>
              <w:rPr>
                <w:rFonts w:ascii="黑体" w:eastAsia="黑体"/>
                <w:color w:val="000000"/>
                <w:sz w:val="20"/>
              </w:rPr>
              <w:t xml:space="preserve">  </w:t>
            </w:r>
            <w:r>
              <w:rPr>
                <w:rFonts w:hint="eastAsia" w:ascii="黑体" w:eastAsia="黑体"/>
                <w:color w:val="000000"/>
                <w:sz w:val="20"/>
              </w:rPr>
              <w:t>（10分）</w:t>
            </w:r>
          </w:p>
        </w:tc>
        <w:tc>
          <w:tcPr>
            <w:tcW w:w="1972"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18"/>
                <w:szCs w:val="18"/>
              </w:rPr>
            </w:pPr>
            <w:r>
              <w:rPr>
                <w:rFonts w:hint="eastAsia" w:ascii="黑体" w:hAnsi="黑体" w:eastAsia="黑体" w:cs="黑体"/>
                <w:sz w:val="18"/>
                <w:szCs w:val="18"/>
              </w:rPr>
              <w:t>公众满意度</w:t>
            </w:r>
          </w:p>
        </w:tc>
        <w:tc>
          <w:tcPr>
            <w:tcW w:w="1115"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≥9</w:t>
            </w:r>
            <w:r>
              <w:rPr>
                <w:rFonts w:ascii="黑体" w:eastAsia="黑体"/>
                <w:color w:val="000000"/>
                <w:sz w:val="20"/>
              </w:rPr>
              <w:t>0%</w:t>
            </w:r>
          </w:p>
        </w:tc>
        <w:tc>
          <w:tcPr>
            <w:tcW w:w="770"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85%</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w:t>
            </w:r>
            <w:r>
              <w:rPr>
                <w:rFonts w:ascii="黑体" w:eastAsia="黑体"/>
                <w:color w:val="000000"/>
                <w:sz w:val="20"/>
              </w:rPr>
              <w:t>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ascii="黑体" w:eastAsia="黑体"/>
                <w:color w:val="000000"/>
                <w:sz w:val="20"/>
              </w:rPr>
              <w:t>8</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r>
        <w:tblPrEx>
          <w:tblCellMar>
            <w:top w:w="0" w:type="dxa"/>
            <w:left w:w="108" w:type="dxa"/>
            <w:bottom w:w="0" w:type="dxa"/>
            <w:right w:w="108" w:type="dxa"/>
          </w:tblCellMar>
        </w:tblPrEx>
        <w:trPr>
          <w:trHeight w:val="302" w:hRule="exact"/>
          <w:jc w:val="center"/>
        </w:trPr>
        <w:tc>
          <w:tcPr>
            <w:tcW w:w="6687"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总分</w:t>
            </w:r>
          </w:p>
        </w:tc>
        <w:tc>
          <w:tcPr>
            <w:tcW w:w="476"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100</w:t>
            </w:r>
          </w:p>
        </w:tc>
        <w:tc>
          <w:tcPr>
            <w:tcW w:w="574" w:type="dxa"/>
            <w:tcBorders>
              <w:top w:val="nil"/>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9</w:t>
            </w:r>
            <w:r>
              <w:rPr>
                <w:rFonts w:ascii="黑体" w:eastAsia="黑体"/>
                <w:color w:val="000000"/>
                <w:sz w:val="20"/>
              </w:rPr>
              <w:t>3</w:t>
            </w:r>
          </w:p>
        </w:tc>
        <w:tc>
          <w:tcPr>
            <w:tcW w:w="1296" w:type="dxa"/>
            <w:tcBorders>
              <w:top w:val="single" w:color="auto" w:sz="4" w:space="0"/>
              <w:left w:val="nil"/>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r>
    </w:tbl>
    <w:p>
      <w:pPr>
        <w:spacing w:before="312" w:beforeLines="100" w:after="312" w:afterLines="100"/>
        <w:jc w:val="center"/>
        <w:rPr>
          <w:rFonts w:ascii="黑体" w:hAnsi="黑体" w:eastAsia="黑体"/>
          <w:bCs/>
          <w:sz w:val="32"/>
          <w:szCs w:val="32"/>
        </w:rPr>
      </w:pPr>
      <w:r>
        <w:rPr>
          <w:rFonts w:hint="eastAsia" w:ascii="黑体" w:hAnsi="黑体" w:eastAsia="黑体"/>
          <w:bCs/>
          <w:sz w:val="32"/>
          <w:szCs w:val="32"/>
        </w:rPr>
        <w:br w:type="page"/>
      </w: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（一）财政拨款：指省级财政当年拨付的资金。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（五）附属单位上缴收入：反映事业单位附属的独立核算单位按规定标准或比例缴纳的各项收入。包括附属的事业单位上缴的收入和附属的企业上缴的利润等。</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（八）上年结转和结余：填列2020年全部结转和结余的资金数，包括当年结转结余资金和历年滚存结转结余资金。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6.社会保障和就业支出（类）行政单位离退休（款）未归口管理的行政单位离退休（项）：反映未实行归口管理的行政单位（包括实行公务员管理的事业单位）开支的离退休经费。</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9.农林水支出（类）水利（款）其他水利支出（项）：反映除其他用于水利方面的支出。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10.住房保障支出（类）住房改革支出（款）住房公积金（项）：反映行政事业单位按人力资源和社会保障部、财政部规定的基本工资和津补贴以及规定比例为职工缴纳的住房公积金。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11.住房保障支出（类）住房改革支出（款）购房补贴（项）：反映按房改政策规定，行政事业单位向符合条件职工（含离退休人员）、军队（含武警）向转役复员离退休人员发放的用于购买住房的补贴。</w:t>
      </w:r>
    </w:p>
    <w:p>
      <w:pPr>
        <w:widowControl/>
        <w:spacing w:line="580" w:lineRule="exact"/>
        <w:jc w:val="left"/>
        <w:rPr>
          <w:rFonts w:ascii="仿宋_GB2312" w:hAnsi="仿宋_GB2312" w:eastAsia="仿宋_GB2312"/>
          <w:sz w:val="32"/>
          <w:szCs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
    <w:p>
      <w:pPr>
        <w:widowControl/>
        <w:jc w:val="right"/>
        <w:textAlignment w:val="bottom"/>
        <w:rPr>
          <w:rFonts w:ascii="仿宋" w:hAnsi="仿宋" w:eastAsia="仿宋" w:cs="仿宋"/>
          <w:color w:val="000000"/>
          <w:sz w:val="32"/>
          <w:szCs w:val="32"/>
        </w:rPr>
      </w:pPr>
      <w:r>
        <w:rPr>
          <w:rFonts w:hint="eastAsia"/>
        </w:rPr>
        <w:t xml:space="preserve">                                       </w:t>
      </w:r>
      <w:r>
        <w:rPr>
          <w:rFonts w:hint="eastAsia" w:ascii="仿宋" w:hAnsi="仿宋" w:eastAsia="仿宋" w:cs="仿宋"/>
          <w:color w:val="000000"/>
          <w:kern w:val="0"/>
          <w:sz w:val="32"/>
          <w:szCs w:val="32"/>
        </w:rPr>
        <w:t>二〇二一年八月十日</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pPr>
    <w:r>
      <w:rPr>
        <w:rFonts w:hint="eastAsia" w:ascii="宋体" w:hAnsi="宋体"/>
        <w:sz w:val="28"/>
      </w:rPr>
      <w:fldChar w:fldCharType="begin"/>
    </w:r>
    <w:r>
      <w:rPr>
        <w:rStyle w:val="7"/>
        <w:rFonts w:hint="eastAsia" w:ascii="宋体" w:hAnsi="宋体"/>
        <w:sz w:val="28"/>
      </w:rPr>
      <w:instrText xml:space="preserve"> PAGE  </w:instrText>
    </w:r>
    <w:r>
      <w:rPr>
        <w:rFonts w:hint="eastAsia" w:ascii="宋体" w:hAnsi="宋体"/>
        <w:sz w:val="28"/>
      </w:rPr>
      <w:fldChar w:fldCharType="separate"/>
    </w:r>
    <w:r>
      <w:rPr>
        <w:rStyle w:val="7"/>
        <w:rFonts w:ascii="宋体" w:hAnsi="宋体"/>
        <w:sz w:val="28"/>
      </w:rPr>
      <w:t>- 10 -</w:t>
    </w:r>
    <w:r>
      <w:rPr>
        <w:rFonts w:hint="eastAsia" w:ascii="宋体" w:hAnsi="宋体"/>
        <w:sz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NDExMGRlYzliNmE4MjkwZTdlMDQ5YjkzYTA3M2QifQ=="/>
  </w:docVars>
  <w:rsids>
    <w:rsidRoot w:val="00D73D73"/>
    <w:rsid w:val="0003305C"/>
    <w:rsid w:val="00071A39"/>
    <w:rsid w:val="0009657E"/>
    <w:rsid w:val="000D27C6"/>
    <w:rsid w:val="0010658A"/>
    <w:rsid w:val="00125C77"/>
    <w:rsid w:val="00131675"/>
    <w:rsid w:val="001544BE"/>
    <w:rsid w:val="00164189"/>
    <w:rsid w:val="001A5A25"/>
    <w:rsid w:val="001C7778"/>
    <w:rsid w:val="00203441"/>
    <w:rsid w:val="002307CB"/>
    <w:rsid w:val="002C7C71"/>
    <w:rsid w:val="002E2ACB"/>
    <w:rsid w:val="00301B14"/>
    <w:rsid w:val="00366346"/>
    <w:rsid w:val="0042262B"/>
    <w:rsid w:val="00427714"/>
    <w:rsid w:val="0044254D"/>
    <w:rsid w:val="004577DD"/>
    <w:rsid w:val="004A123F"/>
    <w:rsid w:val="00533606"/>
    <w:rsid w:val="005439A9"/>
    <w:rsid w:val="0056043C"/>
    <w:rsid w:val="00586270"/>
    <w:rsid w:val="005B4D82"/>
    <w:rsid w:val="0060343C"/>
    <w:rsid w:val="00604002"/>
    <w:rsid w:val="00613259"/>
    <w:rsid w:val="00646531"/>
    <w:rsid w:val="00665EE8"/>
    <w:rsid w:val="00707EBB"/>
    <w:rsid w:val="00724506"/>
    <w:rsid w:val="00811873"/>
    <w:rsid w:val="008E1382"/>
    <w:rsid w:val="009B2934"/>
    <w:rsid w:val="009D75B4"/>
    <w:rsid w:val="009E6903"/>
    <w:rsid w:val="00A010E8"/>
    <w:rsid w:val="00A314F9"/>
    <w:rsid w:val="00A35F59"/>
    <w:rsid w:val="00A455FB"/>
    <w:rsid w:val="00A52B94"/>
    <w:rsid w:val="00A64780"/>
    <w:rsid w:val="00A82253"/>
    <w:rsid w:val="00A870EB"/>
    <w:rsid w:val="00A929B2"/>
    <w:rsid w:val="00AC5E70"/>
    <w:rsid w:val="00B226F5"/>
    <w:rsid w:val="00B23484"/>
    <w:rsid w:val="00C21569"/>
    <w:rsid w:val="00C23B71"/>
    <w:rsid w:val="00C8536D"/>
    <w:rsid w:val="00CB55AE"/>
    <w:rsid w:val="00D34662"/>
    <w:rsid w:val="00D53F32"/>
    <w:rsid w:val="00D70EA3"/>
    <w:rsid w:val="00D73D73"/>
    <w:rsid w:val="00DC5661"/>
    <w:rsid w:val="00E773A5"/>
    <w:rsid w:val="00ED6EF8"/>
    <w:rsid w:val="00F3794C"/>
    <w:rsid w:val="00F60A67"/>
    <w:rsid w:val="00FF6494"/>
    <w:rsid w:val="00FF6ADA"/>
    <w:rsid w:val="359D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375E2-6802-4E58-802F-75716327D942}">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11</Pages>
  <Words>3831</Words>
  <Characters>4159</Characters>
  <Lines>32</Lines>
  <Paragraphs>9</Paragraphs>
  <TotalTime>1</TotalTime>
  <ScaleCrop>false</ScaleCrop>
  <LinksUpToDate>false</LinksUpToDate>
  <CharactersWithSpaces>4380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2022-05-14T23:24:00Z</dcterms:created>
  <dc:creator>user</dc:creator>
  <cp:lastModifiedBy>Deity</cp:lastModifiedBy>
  <dcterms:modified xsi:type="dcterms:W3CDTF">2022-05-16T09:10:15Z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BF4343955F234C98B28B201F03E135E7</vt:lpwstr>
  </property>
</Properties>
</file>