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jc w:val="center"/>
        <w:textAlignment w:val="bottom"/>
        <w:rPr>
          <w:rFonts w:ascii="黑体" w:hAnsi="宋体" w:eastAsia="黑体" w:cs="黑体"/>
          <w:color w:val="000000"/>
          <w:sz w:val="44"/>
          <w:szCs w:val="44"/>
        </w:rPr>
      </w:pPr>
      <w:r>
        <w:rPr>
          <w:rFonts w:hint="eastAsia" w:ascii="黑体" w:hAnsi="宋体" w:eastAsia="黑体" w:cs="黑体"/>
          <w:color w:val="000000"/>
          <w:kern w:val="0"/>
          <w:sz w:val="44"/>
          <w:szCs w:val="44"/>
        </w:rPr>
        <w:t xml:space="preserve"> 西湖区城市管理局2020年度部门决算草案</w:t>
      </w:r>
    </w:p>
    <w:p>
      <w:pPr>
        <w:tabs>
          <w:tab w:val="left" w:pos="1005"/>
          <w:tab w:val="left" w:pos="2010"/>
          <w:tab w:val="left" w:pos="3015"/>
          <w:tab w:val="left" w:pos="4020"/>
          <w:tab w:val="left" w:pos="5025"/>
          <w:tab w:val="left" w:pos="6030"/>
          <w:tab w:val="left" w:pos="7035"/>
          <w:tab w:val="left" w:pos="8040"/>
        </w:tabs>
        <w:rPr>
          <w:rFonts w:ascii="Arial" w:hAnsi="Arial" w:cs="Arial"/>
          <w:color w:val="000000"/>
          <w:sz w:val="20"/>
          <w:szCs w:val="20"/>
        </w:rPr>
      </w:pPr>
      <w:r>
        <w:rPr>
          <w:rFonts w:hint="eastAsia" w:ascii="黑体" w:hAnsi="宋体" w:eastAsia="黑体" w:cs="黑体"/>
          <w:color w:val="000000"/>
          <w:kern w:val="0"/>
          <w:sz w:val="44"/>
          <w:szCs w:val="44"/>
        </w:rPr>
        <w:t xml:space="preserve"> </w:t>
      </w:r>
      <w:r>
        <w:rPr>
          <w:rFonts w:hint="eastAsia" w:ascii="黑体" w:hAnsi="宋体" w:eastAsia="黑体" w:cs="黑体"/>
          <w:color w:val="000000"/>
          <w:sz w:val="44"/>
          <w:szCs w:val="44"/>
        </w:rPr>
        <w:tab/>
      </w:r>
      <w:r>
        <w:rPr>
          <w:rFonts w:hint="eastAsia"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pPr>
        <w:widowControl/>
        <w:jc w:val="center"/>
        <w:textAlignment w:val="bottom"/>
        <w:rPr>
          <w:rFonts w:ascii="黑体" w:hAnsi="宋体" w:eastAsia="黑体" w:cs="黑体"/>
          <w:color w:val="000000"/>
          <w:sz w:val="40"/>
          <w:szCs w:val="40"/>
        </w:rPr>
      </w:pPr>
      <w:r>
        <w:rPr>
          <w:rFonts w:hint="eastAsia" w:ascii="黑体" w:hAnsi="宋体" w:eastAsia="黑体" w:cs="黑体"/>
          <w:color w:val="000000"/>
          <w:kern w:val="0"/>
          <w:sz w:val="40"/>
          <w:szCs w:val="40"/>
        </w:rPr>
        <w:t>目    录</w:t>
      </w:r>
    </w:p>
    <w:p>
      <w:pPr>
        <w:tabs>
          <w:tab w:val="left" w:pos="1005"/>
          <w:tab w:val="left" w:pos="2010"/>
          <w:tab w:val="left" w:pos="3015"/>
          <w:tab w:val="left" w:pos="4020"/>
          <w:tab w:val="left" w:pos="5025"/>
          <w:tab w:val="left" w:pos="6030"/>
          <w:tab w:val="left" w:pos="7035"/>
          <w:tab w:val="left" w:pos="8040"/>
        </w:tabs>
        <w:rPr>
          <w:rFonts w:ascii="Arial" w:hAnsi="Arial" w:cs="Arial"/>
          <w:color w:val="000000"/>
          <w:sz w:val="20"/>
          <w:szCs w:val="20"/>
        </w:rPr>
      </w:pPr>
      <w:r>
        <w:rPr>
          <w:rFonts w:ascii="仿宋_GB2312" w:hAnsi="Arial" w:eastAsia="仿宋_GB2312" w:cs="仿宋_GB2312"/>
          <w:color w:val="000000"/>
          <w:kern w:val="0"/>
          <w:sz w:val="32"/>
          <w:szCs w:val="32"/>
        </w:rPr>
        <w:t xml:space="preserve"> </w:t>
      </w:r>
      <w:r>
        <w:rPr>
          <w:rFonts w:ascii="仿宋_GB2312" w:hAnsi="Arial" w:eastAsia="仿宋_GB2312" w:cs="仿宋_GB2312"/>
          <w:color w:val="000000"/>
          <w:sz w:val="32"/>
          <w:szCs w:val="32"/>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pPr>
        <w:widowControl/>
        <w:textAlignment w:val="bottom"/>
        <w:rPr>
          <w:rFonts w:ascii="黑体" w:hAnsi="宋体" w:eastAsia="黑体" w:cs="黑体"/>
          <w:color w:val="000000"/>
          <w:kern w:val="0"/>
          <w:sz w:val="32"/>
          <w:szCs w:val="32"/>
        </w:rPr>
      </w:pPr>
      <w:r>
        <w:rPr>
          <w:rFonts w:hint="eastAsia" w:ascii="黑体" w:hAnsi="宋体" w:eastAsia="黑体" w:cs="黑体"/>
          <w:color w:val="000000"/>
          <w:kern w:val="0"/>
          <w:sz w:val="32"/>
          <w:szCs w:val="32"/>
        </w:rPr>
        <w:t>第一部分  西湖区城市管理局部门概况</w:t>
      </w:r>
    </w:p>
    <w:p>
      <w:pPr>
        <w:widowControl/>
        <w:jc w:val="left"/>
        <w:textAlignment w:val="bottom"/>
        <w:rPr>
          <w:rFonts w:ascii="仿宋" w:hAnsi="仿宋" w:eastAsia="仿宋" w:cs="仿宋"/>
          <w:color w:val="000000"/>
          <w:kern w:val="0"/>
          <w:sz w:val="32"/>
          <w:szCs w:val="32"/>
        </w:rPr>
      </w:pPr>
      <w:r>
        <w:rPr>
          <w:rFonts w:ascii="仿宋_GB2312" w:hAnsi="Arial" w:eastAsia="仿宋_GB2312" w:cs="仿宋_GB2312"/>
          <w:b/>
          <w:bCs/>
          <w:color w:val="000000"/>
          <w:kern w:val="0"/>
          <w:sz w:val="32"/>
          <w:szCs w:val="32"/>
        </w:rPr>
        <w:t xml:space="preserve">  </w:t>
      </w:r>
      <w:r>
        <w:rPr>
          <w:rFonts w:ascii="仿宋" w:hAnsi="仿宋" w:eastAsia="仿宋" w:cs="仿宋"/>
          <w:color w:val="000000"/>
          <w:kern w:val="0"/>
          <w:sz w:val="32"/>
          <w:szCs w:val="32"/>
        </w:rPr>
        <w:t>一、部门主要职责</w:t>
      </w:r>
    </w:p>
    <w:p>
      <w:pPr>
        <w:widowControl/>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二、部门基本情况</w:t>
      </w:r>
    </w:p>
    <w:p>
      <w:pPr>
        <w:widowControl/>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第二部分  2020年度部门决算表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一、收入支出决算总表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二、收入决算表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三、支出决算表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四、财政拨款收入支出决算总表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五、一般公共预算财政拨款支出决算表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六、一般公共预算财政拨款基本支出决算表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七、一般公共预算财政拨款“三公”经费支出决算</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表</w:t>
      </w:r>
    </w:p>
    <w:p>
      <w:pPr>
        <w:widowControl/>
        <w:numPr>
          <w:ilvl w:val="0"/>
          <w:numId w:val="1"/>
        </w:numPr>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政府性基金预算财政拨款收入支出决算表</w:t>
      </w:r>
    </w:p>
    <w:p>
      <w:pPr>
        <w:widowControl/>
        <w:numPr>
          <w:ilvl w:val="0"/>
          <w:numId w:val="1"/>
        </w:numPr>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国有资本经营预算财政拨款收入支出决算表</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十、国有资产占用情况表</w:t>
      </w:r>
    </w:p>
    <w:p>
      <w:pPr>
        <w:widowControl/>
        <w:textAlignment w:val="bottom"/>
        <w:rPr>
          <w:rFonts w:ascii="黑体" w:hAnsi="宋体" w:eastAsia="黑体" w:cs="黑体"/>
          <w:color w:val="000000"/>
          <w:kern w:val="0"/>
          <w:sz w:val="32"/>
          <w:szCs w:val="32"/>
        </w:rPr>
      </w:pPr>
      <w:r>
        <w:rPr>
          <w:rFonts w:hint="eastAsia" w:ascii="黑体" w:hAnsi="宋体" w:eastAsia="黑体" w:cs="黑体"/>
          <w:color w:val="000000"/>
          <w:kern w:val="0"/>
          <w:sz w:val="32"/>
          <w:szCs w:val="32"/>
        </w:rPr>
        <w:t>第三部分  2020年度部门决算情况说明</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一、收入决算情况说明</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二、支出决算情况说明</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三、财政拨款支出决算情况说明</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四、一般公共预算财政拨款基本支出决算情况说明</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五、一般公共预算财政拨款“三公”经费支出决算情况说明</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六、机关运行经费支出情况说明</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七、政府采购支出情况说明</w:t>
      </w:r>
    </w:p>
    <w:p>
      <w:pPr>
        <w:widowControl/>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八、国有资产占用情况说明</w:t>
      </w:r>
    </w:p>
    <w:p>
      <w:pPr>
        <w:widowControl/>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九、预算绩效情况说明</w:t>
      </w:r>
    </w:p>
    <w:p>
      <w:pPr>
        <w:widowControl/>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第四部分  名词解释</w:t>
      </w:r>
    </w:p>
    <w:p>
      <w:pPr>
        <w:widowControl/>
        <w:jc w:val="left"/>
        <w:textAlignment w:val="bottom"/>
        <w:rPr>
          <w:rFonts w:ascii="仿宋_GB2312" w:hAnsi="Arial" w:eastAsia="仿宋_GB2312" w:cs="仿宋_GB2312"/>
          <w:color w:val="000000"/>
          <w:sz w:val="32"/>
          <w:szCs w:val="32"/>
        </w:rPr>
      </w:pPr>
      <w:r>
        <w:rPr>
          <w:rFonts w:ascii="仿宋_GB2312" w:hAnsi="Arial" w:eastAsia="仿宋_GB2312" w:cs="仿宋_GB2312"/>
          <w:color w:val="000000"/>
          <w:kern w:val="0"/>
          <w:sz w:val="32"/>
          <w:szCs w:val="32"/>
        </w:rPr>
        <w:t>一、收入科目</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（一）财政拨款：指省级财政当年拨付的资金。</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（二）事业收入：指事业单位开展专业业务活动及辅助活动取得的收入。</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（三）事业单位经营收入：指事业单位在专业业务活动及辅助活动之外开展非独立核算经营活动取得的收入。</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（四）其他收入：指除财政拨款、事业收入、事业单位经营收入等以外的各项收入。</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（五）附属单位上缴收入：反映事业单位附属的独立核算单位按规定标准或比例缴纳的各项收入。包括附属的事业单位上缴的收入和附属的企业上缴的利润等。</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（六）上级补助收入：反映事业单位从主管部门和上级单位取得的非财政补助收入。</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（七）用事业基金弥补收支差额：填列事业单位用事业基金弥补2019年收支差额的数额。</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（八）上年结转和结余：填列2020年全部结转和结余的资金数，包括当年结转结余资金和历年滚存结转结余资金。</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二、支出科目</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1.一般公共服务支出（类）财政事务（款）行政运行（项）：反映各级财政行政单位（包括实行公务员管理的事业单位）的基本支出。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2.一般公共服务支出（类）财政事务（款）一般行政管理事务（项）：反映各级财政行政单位（包括实行公务员管理的事业单位）未单独设置项级科目的其他项目支出。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3.一般公共服务支出（类）财政事务（款）财政国库业务（项）：反映财政部门用于财政国库集中收付业务方面的支出。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4.一般公共服务支出（类）财政事务（款）事业运行（项）：反映财政事业单位的基本支出。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5.一般公共服务支出（类）财政事务（款）其他财政事务支出（项）：反映财政事业单位其他财政事务方面的支出。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6.社会保障和就业支出（类）行政单位离退休（款）未归口管理的行政单位离退休（项）：反映未实行归口管理的行政单位（包括实行公务员管理的事业单位）开支的离退休经费。</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7.社会保障和就业支出（类）行政单位离退休（款）机关事业单位基本养老保险缴费支出（项）：反映机关事业单位实施养老保险制度由单位缴纳的基本养老保险费支出。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8.社会保障和就业支出（类）行政单位离退休（款）机关事业单位职业年金缴费支出（项）：反映机关事业单位实施养老保险制度由单位实际缴纳的职业年金支出。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9.农林水支出（类）水利（款）其他水利支出（项）：反映除其他用于水利方面的支出。</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10.住房保障支出（类）住房改革支出（款）住房公积金（项）：反映行政事业单位按人力资源和社会保障部、财政部规定的基本工资和津补贴以及规定比例为职工缴纳的住房公积金。</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11.住房保障支出（类）住房改革支出（款）购房补贴（项）：反映按房改政策规定，行政事业单位向符合条件职工（含离退休人员）、军队（含武警）向转役复员离退休人员发放的用于购买住房的补贴。</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color w:val="000000"/>
          <w:kern w:val="0"/>
          <w:sz w:val="32"/>
          <w:szCs w:val="32"/>
        </w:rPr>
        <w:t xml:space="preserve"> </w:t>
      </w:r>
      <w:r>
        <w:rPr>
          <w:rFonts w:hint="eastAsia" w:ascii="仿宋" w:hAnsi="仿宋" w:eastAsia="仿宋" w:cs="仿宋"/>
          <w:color w:val="000000"/>
          <w:sz w:val="32"/>
          <w:szCs w:val="32"/>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color w:val="000000"/>
          <w:kern w:val="0"/>
          <w:sz w:val="32"/>
          <w:szCs w:val="32"/>
        </w:rPr>
        <w:t xml:space="preserve"> </w:t>
      </w:r>
      <w:r>
        <w:rPr>
          <w:rFonts w:hint="eastAsia" w:ascii="仿宋" w:hAnsi="仿宋" w:eastAsia="仿宋" w:cs="仿宋"/>
          <w:color w:val="000000"/>
          <w:sz w:val="32"/>
          <w:szCs w:val="32"/>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color w:val="000000"/>
          <w:kern w:val="0"/>
          <w:sz w:val="32"/>
          <w:szCs w:val="32"/>
        </w:rPr>
        <w:t xml:space="preserve"> </w:t>
      </w:r>
      <w:r>
        <w:rPr>
          <w:rFonts w:hint="eastAsia" w:ascii="仿宋" w:hAnsi="仿宋" w:eastAsia="仿宋" w:cs="仿宋"/>
          <w:color w:val="000000"/>
          <w:sz w:val="32"/>
          <w:szCs w:val="32"/>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color w:val="000000"/>
          <w:kern w:val="0"/>
          <w:sz w:val="32"/>
          <w:szCs w:val="32"/>
        </w:rPr>
        <w:t xml:space="preserve"> </w:t>
      </w:r>
      <w:r>
        <w:rPr>
          <w:rFonts w:hint="eastAsia" w:ascii="仿宋" w:hAnsi="仿宋" w:eastAsia="仿宋" w:cs="仿宋"/>
          <w:color w:val="000000"/>
          <w:sz w:val="32"/>
          <w:szCs w:val="32"/>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color w:val="000000"/>
          <w:kern w:val="0"/>
          <w:sz w:val="32"/>
          <w:szCs w:val="32"/>
        </w:rPr>
        <w:t xml:space="preserve"> </w:t>
      </w:r>
      <w:r>
        <w:rPr>
          <w:rFonts w:hint="eastAsia" w:ascii="仿宋" w:hAnsi="仿宋" w:eastAsia="仿宋" w:cs="仿宋"/>
          <w:color w:val="000000"/>
          <w:sz w:val="32"/>
          <w:szCs w:val="32"/>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widowControl/>
        <w:jc w:val="righ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二〇二一年八月八日</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2"/>
          <w:szCs w:val="32"/>
        </w:rPr>
        <w:t xml:space="preserve"> </w:t>
      </w:r>
      <w:r>
        <w:rPr>
          <w:rFonts w:hint="eastAsia" w:ascii="仿宋" w:hAnsi="仿宋" w:eastAsia="仿宋" w:cs="仿宋"/>
          <w:b/>
          <w:bCs/>
          <w:color w:val="000000"/>
          <w:sz w:val="32"/>
          <w:szCs w:val="32"/>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sz w:val="20"/>
          <w:szCs w:val="20"/>
        </w:rPr>
      </w:pPr>
      <w:r>
        <w:rPr>
          <w:rFonts w:hint="eastAsia" w:ascii="仿宋" w:hAnsi="仿宋" w:eastAsia="仿宋" w:cs="仿宋"/>
          <w:b/>
          <w:bCs/>
          <w:color w:val="000000"/>
          <w:kern w:val="0"/>
          <w:sz w:val="36"/>
          <w:szCs w:val="36"/>
        </w:rPr>
        <w:t xml:space="preserve"> </w:t>
      </w:r>
      <w:r>
        <w:rPr>
          <w:rFonts w:hint="eastAsia" w:ascii="仿宋" w:hAnsi="仿宋" w:eastAsia="仿宋" w:cs="仿宋"/>
          <w:b/>
          <w:bCs/>
          <w:color w:val="000000"/>
          <w:sz w:val="36"/>
          <w:szCs w:val="36"/>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r>
        <w:rPr>
          <w:rFonts w:hint="eastAsia" w:ascii="仿宋" w:hAnsi="仿宋" w:eastAsia="仿宋" w:cs="仿宋"/>
          <w:color w:val="000000"/>
          <w:sz w:val="20"/>
          <w:szCs w:val="20"/>
        </w:rPr>
        <w:tab/>
      </w:r>
    </w:p>
    <w:p>
      <w:pPr>
        <w:widowControl/>
        <w:jc w:val="center"/>
        <w:textAlignment w:val="bottom"/>
        <w:rPr>
          <w:rFonts w:ascii="宋体" w:hAnsi="宋体" w:eastAsia="宋体" w:cs="宋体"/>
          <w:b/>
          <w:bCs/>
          <w:color w:val="000000"/>
          <w:sz w:val="32"/>
          <w:szCs w:val="32"/>
        </w:rPr>
      </w:pPr>
      <w:r>
        <w:rPr>
          <w:rFonts w:hint="eastAsia" w:ascii="宋体" w:hAnsi="宋体" w:eastAsia="宋体" w:cs="宋体"/>
          <w:b/>
          <w:bCs/>
          <w:color w:val="000000"/>
          <w:kern w:val="0"/>
          <w:sz w:val="32"/>
          <w:szCs w:val="32"/>
        </w:rPr>
        <w:t>第一部分  西湖区城市管理局部门概况</w:t>
      </w:r>
    </w:p>
    <w:p>
      <w:pPr>
        <w:tabs>
          <w:tab w:val="left" w:pos="1005"/>
          <w:tab w:val="left" w:pos="2010"/>
          <w:tab w:val="left" w:pos="3015"/>
          <w:tab w:val="left" w:pos="4020"/>
          <w:tab w:val="left" w:pos="5025"/>
          <w:tab w:val="left" w:pos="6030"/>
          <w:tab w:val="left" w:pos="7035"/>
          <w:tab w:val="left" w:pos="8040"/>
        </w:tabs>
        <w:rPr>
          <w:rFonts w:ascii="Arial" w:hAnsi="Arial" w:cs="Arial"/>
          <w:color w:val="000000"/>
          <w:sz w:val="32"/>
          <w:szCs w:val="32"/>
        </w:rPr>
      </w:pPr>
      <w:r>
        <w:rPr>
          <w:rFonts w:hint="eastAsia" w:ascii="宋体" w:hAnsi="宋体" w:eastAsia="宋体" w:cs="宋体"/>
          <w:color w:val="000000"/>
          <w:kern w:val="0"/>
          <w:sz w:val="32"/>
          <w:szCs w:val="32"/>
        </w:rPr>
        <w:t xml:space="preserve"> </w:t>
      </w:r>
      <w:r>
        <w:rPr>
          <w:rFonts w:hint="eastAsia" w:ascii="宋体" w:hAnsi="宋体" w:eastAsia="宋体" w:cs="宋体"/>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一、部门主要职能</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区城市管理局是主管城市管理的区政府批准成立的部门，正科级建制。其主要职责为：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（一）贯彻执行国家、省、市、区有关城市管理方面的法律、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法规、规章和方针政策。制定本区有关城市管理政策和规范，并 组织实施。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（二）编制城市管理发展总体规划、中长期规划、专项规划、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年度计划、行业标准和技术规范，并组织实施。编制城市管理方 面的重大重点项目年度计划和城市维护费的年度计划，并监督实 施。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（三）负责市容环境卫生、城市管理执法、城市燃气等行业</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管理，对相关基础设施运行情况进行监测、调度和应急处置。负责综合组织、协调、检查、指导全区城市管理工作,对各街道（镇）的城市管理工作进行检查、考核、评比。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（四）负责对全区城市管理执法工作指导协调、指挥调度和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监督检查。组织全区性城市管理专项和重大执法活动，负责行使区本级承担的城管执法职能。负责对城市管理执法人员行使职权 情况实施督查。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（五）参与本区城市规划、重点建设项目和综合开发建设项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目的可行性研究。参与新建、改建、扩建市容环卫等基础设施建设项目的立项、选址、设计、竣工验收备案。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（六）组织开展市容环境综合整治、社区环境综合整治和城市综合管理专项治理工作。负责沿街建筑物立面市容的管理。负责制定户外广告、门店招牌的规划、标准和规范，并组织实施。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（七）负责本区道路保洁的监督管理工作，承担城市环境卫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生设施管理职责。负责生活垃圾、餐厨垃圾、建筑垃圾等处置的 监督管理以及减量化、资源化、无害化工作。统筹指导、组织协调全区生活垃圾分类工作的推广实施。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（八）负责城市管理科技创新，教育培训，牵头实施全区城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市管理数字化、智慧化建设与运行的监管工作。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（九）按照市统一部署，负责巩固“全国文明城市”、“国 </w:t>
      </w:r>
    </w:p>
    <w:p>
      <w:pPr>
        <w:tabs>
          <w:tab w:val="left" w:pos="1005"/>
          <w:tab w:val="left" w:pos="2010"/>
          <w:tab w:val="left" w:pos="3015"/>
          <w:tab w:val="left" w:pos="4020"/>
          <w:tab w:val="left" w:pos="5025"/>
          <w:tab w:val="left" w:pos="6030"/>
          <w:tab w:val="left" w:pos="7035"/>
          <w:tab w:val="left" w:pos="8040"/>
        </w:tabs>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家卫生城市”创建成果涉及的实地项目的统筹、协调、指导、督查、考评。 </w:t>
      </w:r>
    </w:p>
    <w:p>
      <w:pPr>
        <w:tabs>
          <w:tab w:val="left" w:pos="1005"/>
          <w:tab w:val="left" w:pos="2010"/>
          <w:tab w:val="left" w:pos="3015"/>
          <w:tab w:val="left" w:pos="4020"/>
          <w:tab w:val="left" w:pos="5025"/>
          <w:tab w:val="left" w:pos="6030"/>
          <w:tab w:val="left" w:pos="7035"/>
          <w:tab w:val="left" w:pos="8040"/>
        </w:tabs>
        <w:rPr>
          <w:rFonts w:hint="eastAsia" w:ascii="Arial" w:hAnsi="Arial" w:cs="Arial"/>
          <w:color w:val="000000"/>
          <w:sz w:val="32"/>
          <w:szCs w:val="32"/>
        </w:rPr>
      </w:pPr>
      <w:r>
        <w:rPr>
          <w:rFonts w:hint="eastAsia" w:ascii="仿宋" w:hAnsi="仿宋" w:eastAsia="仿宋" w:cs="仿宋"/>
          <w:color w:val="000000"/>
          <w:kern w:val="0"/>
          <w:sz w:val="32"/>
          <w:szCs w:val="32"/>
        </w:rPr>
        <w:t>（十）完成区委和区政府交办的其他任务。</w:t>
      </w:r>
      <w:r>
        <w:rPr>
          <w:rFonts w:ascii="Arial" w:hAnsi="Arial" w:cs="Arial"/>
          <w:color w:val="000000"/>
          <w:sz w:val="32"/>
          <w:szCs w:val="32"/>
        </w:rPr>
        <w:tab/>
      </w:r>
    </w:p>
    <w:p>
      <w:pPr>
        <w:tabs>
          <w:tab w:val="left" w:pos="1005"/>
          <w:tab w:val="left" w:pos="2010"/>
          <w:tab w:val="left" w:pos="3015"/>
          <w:tab w:val="left" w:pos="4020"/>
          <w:tab w:val="left" w:pos="5025"/>
          <w:tab w:val="left" w:pos="6030"/>
          <w:tab w:val="left" w:pos="7035"/>
          <w:tab w:val="left" w:pos="8040"/>
        </w:tabs>
        <w:rPr>
          <w:rFonts w:ascii="黑体" w:hAnsi="宋体" w:eastAsia="黑体" w:cs="黑体"/>
          <w:color w:val="000000"/>
          <w:sz w:val="32"/>
          <w:szCs w:val="32"/>
        </w:rPr>
      </w:pPr>
      <w:r>
        <w:rPr>
          <w:rFonts w:hint="eastAsia" w:ascii="黑体" w:hAnsi="宋体" w:eastAsia="黑体" w:cs="黑体"/>
          <w:color w:val="000000"/>
          <w:kern w:val="0"/>
          <w:sz w:val="32"/>
          <w:szCs w:val="32"/>
        </w:rPr>
        <w:t>二、部门基本情况</w:t>
      </w:r>
    </w:p>
    <w:p>
      <w:pPr>
        <w:widowControl/>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纳入本套部门决算汇编范围的单位共16个，包括:西湖区城市管理局本级、南昌市西湖区广润门市容所、南昌市西湖区西湖市容所、南昌市西湖区桃源市容所、南昌市西湖区南浦市容所、南昌市西湖区系马桩市容所、南昌市西湖区绳金塔市容所、南昌市西湖区十字街市容所、南昌市西湖区丁公路市容所、南昌市西湖区南站市容所、南昌市西湖区朝阳市容所、南昌市西湖区桃花市容所、南昌市西湖区环卫清运公司、南昌市西湖区环卫综合服务公司、南昌市西湖区环卫设施维修所、南昌市西湖区建筑垃圾余土清运公司。</w:t>
      </w:r>
    </w:p>
    <w:p>
      <w:pPr>
        <w:widowControl/>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 xml:space="preserve">    本部门2020年年末职工人数842人，其中在职人员222人，退休人员620人；年末其他人员1676人。</w:t>
      </w:r>
    </w:p>
    <w:p>
      <w:pPr>
        <w:widowControl/>
        <w:jc w:val="left"/>
        <w:textAlignment w:val="bottom"/>
        <w:rPr>
          <w:rFonts w:ascii="Arial" w:hAnsi="Arial" w:cs="Arial"/>
          <w:color w:val="000000"/>
          <w:sz w:val="20"/>
          <w:szCs w:val="20"/>
        </w:rPr>
      </w:pPr>
      <w:r>
        <w:rPr>
          <w:rFonts w:hint="eastAsia" w:ascii="仿宋" w:hAnsi="仿宋" w:eastAsia="仿宋" w:cs="仿宋"/>
          <w:color w:val="000000"/>
          <w:kern w:val="0"/>
          <w:sz w:val="32"/>
          <w:szCs w:val="32"/>
        </w:rPr>
        <w:t xml:space="preserve">   </w:t>
      </w:r>
      <w:r>
        <w:rPr>
          <w:rFonts w:hint="eastAsia" w:ascii="宋体" w:hAnsi="宋体" w:eastAsia="宋体" w:cs="宋体"/>
          <w:b/>
          <w:bCs/>
          <w:color w:val="000000"/>
          <w:kern w:val="0"/>
          <w:sz w:val="32"/>
          <w:szCs w:val="32"/>
        </w:rPr>
        <w:t xml:space="preserve"> </w:t>
      </w:r>
      <w:r>
        <w:rPr>
          <w:rFonts w:hint="eastAsia" w:ascii="宋体" w:hAnsi="宋体" w:eastAsia="宋体" w:cs="宋体"/>
          <w:b/>
          <w:bCs/>
          <w:color w:val="000000"/>
          <w:sz w:val="32"/>
          <w:szCs w:val="32"/>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pPr>
        <w:widowControl/>
        <w:textAlignment w:val="bottom"/>
        <w:rPr>
          <w:rFonts w:ascii="宋体" w:hAnsi="宋体" w:eastAsia="宋体" w:cs="宋体"/>
          <w:b/>
          <w:bCs/>
          <w:color w:val="000000"/>
          <w:sz w:val="32"/>
          <w:szCs w:val="32"/>
        </w:rPr>
      </w:pPr>
      <w:r>
        <w:rPr>
          <w:rFonts w:hint="eastAsia" w:ascii="宋体" w:hAnsi="宋体" w:eastAsia="宋体" w:cs="宋体"/>
          <w:b/>
          <w:bCs/>
          <w:color w:val="000000"/>
          <w:kern w:val="0"/>
          <w:sz w:val="32"/>
          <w:szCs w:val="32"/>
        </w:rPr>
        <w:t>第二部分  2020年度部门决算表</w:t>
      </w:r>
    </w:p>
    <w:p>
      <w:pPr>
        <w:widowControl/>
        <w:jc w:val="center"/>
        <w:textAlignment w:val="bottom"/>
      </w:pPr>
    </w:p>
    <w:p>
      <w:pPr>
        <w:widowControl/>
        <w:jc w:val="center"/>
        <w:textAlignment w:val="bottom"/>
      </w:pPr>
      <w:r>
        <w:drawing>
          <wp:inline distT="0" distB="0" distL="114300" distR="114300">
            <wp:extent cx="5269230" cy="4310380"/>
            <wp:effectExtent l="0" t="0" r="1270" b="762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cstate="print"/>
                    <a:stretch>
                      <a:fillRect/>
                    </a:stretch>
                  </pic:blipFill>
                  <pic:spPr>
                    <a:xfrm>
                      <a:off x="0" y="0"/>
                      <a:ext cx="5269230" cy="4310380"/>
                    </a:xfrm>
                    <a:prstGeom prst="rect">
                      <a:avLst/>
                    </a:prstGeom>
                    <a:noFill/>
                    <a:ln>
                      <a:noFill/>
                    </a:ln>
                  </pic:spPr>
                </pic:pic>
              </a:graphicData>
            </a:graphic>
          </wp:inline>
        </w:drawing>
      </w:r>
    </w:p>
    <w:p>
      <w:pPr>
        <w:widowControl/>
        <w:jc w:val="center"/>
        <w:textAlignment w:val="bottom"/>
      </w:pPr>
    </w:p>
    <w:p>
      <w:pPr>
        <w:widowControl/>
        <w:jc w:val="center"/>
        <w:textAlignment w:val="bottom"/>
        <w:rPr>
          <w:rFonts w:ascii="宋体" w:hAnsi="宋体" w:eastAsia="宋体" w:cs="宋体"/>
          <w:b/>
          <w:bCs/>
          <w:color w:val="000000"/>
          <w:kern w:val="0"/>
          <w:sz w:val="32"/>
          <w:szCs w:val="32"/>
        </w:rPr>
      </w:pPr>
      <w:r>
        <w:drawing>
          <wp:inline distT="0" distB="0" distL="114300" distR="114300">
            <wp:extent cx="5262245" cy="3329940"/>
            <wp:effectExtent l="0" t="0" r="8255" b="1016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cstate="print"/>
                    <a:stretch>
                      <a:fillRect/>
                    </a:stretch>
                  </pic:blipFill>
                  <pic:spPr>
                    <a:xfrm>
                      <a:off x="0" y="0"/>
                      <a:ext cx="5262245" cy="3329940"/>
                    </a:xfrm>
                    <a:prstGeom prst="rect">
                      <a:avLst/>
                    </a:prstGeom>
                    <a:noFill/>
                    <a:ln>
                      <a:noFill/>
                    </a:ln>
                  </pic:spPr>
                </pic:pic>
              </a:graphicData>
            </a:graphic>
          </wp:inline>
        </w:drawing>
      </w:r>
    </w:p>
    <w:p>
      <w:pPr>
        <w:widowControl/>
        <w:jc w:val="center"/>
        <w:textAlignment w:val="bottom"/>
      </w:pPr>
    </w:p>
    <w:p>
      <w:pPr>
        <w:widowControl/>
        <w:jc w:val="center"/>
        <w:textAlignment w:val="bottom"/>
      </w:pPr>
      <w:r>
        <w:drawing>
          <wp:inline distT="0" distB="0" distL="114300" distR="114300">
            <wp:extent cx="5265420" cy="3287395"/>
            <wp:effectExtent l="0" t="0" r="508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stretch>
                      <a:fillRect/>
                    </a:stretch>
                  </pic:blipFill>
                  <pic:spPr>
                    <a:xfrm>
                      <a:off x="0" y="0"/>
                      <a:ext cx="5265420" cy="3287395"/>
                    </a:xfrm>
                    <a:prstGeom prst="rect">
                      <a:avLst/>
                    </a:prstGeom>
                    <a:noFill/>
                    <a:ln>
                      <a:noFill/>
                    </a:ln>
                  </pic:spPr>
                </pic:pic>
              </a:graphicData>
            </a:graphic>
          </wp:inline>
        </w:drawing>
      </w:r>
    </w:p>
    <w:p>
      <w:pPr>
        <w:widowControl/>
        <w:jc w:val="center"/>
        <w:textAlignment w:val="bottom"/>
        <w:rPr>
          <w:rFonts w:ascii="宋体" w:hAnsi="宋体" w:eastAsia="宋体" w:cs="宋体"/>
          <w:b/>
          <w:bCs/>
          <w:color w:val="000000"/>
          <w:kern w:val="0"/>
          <w:sz w:val="32"/>
          <w:szCs w:val="32"/>
        </w:rPr>
      </w:pPr>
      <w:r>
        <w:drawing>
          <wp:inline distT="0" distB="0" distL="114300" distR="114300">
            <wp:extent cx="5267325" cy="4218940"/>
            <wp:effectExtent l="0" t="0" r="3175"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stretch>
                      <a:fillRect/>
                    </a:stretch>
                  </pic:blipFill>
                  <pic:spPr>
                    <a:xfrm>
                      <a:off x="0" y="0"/>
                      <a:ext cx="5267325" cy="4218940"/>
                    </a:xfrm>
                    <a:prstGeom prst="rect">
                      <a:avLst/>
                    </a:prstGeom>
                    <a:noFill/>
                    <a:ln>
                      <a:noFill/>
                    </a:ln>
                  </pic:spPr>
                </pic:pic>
              </a:graphicData>
            </a:graphic>
          </wp:inline>
        </w:drawing>
      </w:r>
    </w:p>
    <w:p>
      <w:pPr>
        <w:widowControl/>
        <w:jc w:val="center"/>
        <w:textAlignment w:val="bottom"/>
        <w:rPr>
          <w:rFonts w:ascii="宋体" w:hAnsi="宋体" w:eastAsia="宋体" w:cs="宋体"/>
          <w:b/>
          <w:bCs/>
          <w:color w:val="000000"/>
          <w:kern w:val="0"/>
          <w:sz w:val="32"/>
          <w:szCs w:val="32"/>
        </w:rPr>
      </w:pPr>
    </w:p>
    <w:p>
      <w:pPr>
        <w:widowControl/>
        <w:jc w:val="center"/>
        <w:textAlignment w:val="bottom"/>
        <w:rPr>
          <w:rFonts w:ascii="宋体" w:hAnsi="宋体" w:eastAsia="宋体" w:cs="宋体"/>
          <w:b/>
          <w:bCs/>
          <w:color w:val="000000"/>
          <w:kern w:val="0"/>
          <w:sz w:val="32"/>
          <w:szCs w:val="32"/>
        </w:rPr>
      </w:pPr>
      <w:r>
        <w:drawing>
          <wp:inline distT="0" distB="0" distL="114300" distR="114300">
            <wp:extent cx="5269230" cy="3003550"/>
            <wp:effectExtent l="0" t="0" r="127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stretch>
                      <a:fillRect/>
                    </a:stretch>
                  </pic:blipFill>
                  <pic:spPr>
                    <a:xfrm>
                      <a:off x="0" y="0"/>
                      <a:ext cx="5269230" cy="3003550"/>
                    </a:xfrm>
                    <a:prstGeom prst="rect">
                      <a:avLst/>
                    </a:prstGeom>
                    <a:noFill/>
                    <a:ln>
                      <a:noFill/>
                    </a:ln>
                  </pic:spPr>
                </pic:pic>
              </a:graphicData>
            </a:graphic>
          </wp:inline>
        </w:drawing>
      </w:r>
    </w:p>
    <w:p>
      <w:pPr>
        <w:widowControl/>
        <w:jc w:val="center"/>
        <w:textAlignment w:val="bottom"/>
      </w:pPr>
    </w:p>
    <w:p>
      <w:pPr>
        <w:widowControl/>
        <w:jc w:val="center"/>
        <w:textAlignment w:val="bottom"/>
      </w:pPr>
      <w:r>
        <w:drawing>
          <wp:inline distT="0" distB="0" distL="114300" distR="114300">
            <wp:extent cx="5272405" cy="6981825"/>
            <wp:effectExtent l="0" t="0" r="1079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stretch>
                      <a:fillRect/>
                    </a:stretch>
                  </pic:blipFill>
                  <pic:spPr>
                    <a:xfrm>
                      <a:off x="0" y="0"/>
                      <a:ext cx="5272405" cy="6981825"/>
                    </a:xfrm>
                    <a:prstGeom prst="rect">
                      <a:avLst/>
                    </a:prstGeom>
                    <a:noFill/>
                    <a:ln>
                      <a:noFill/>
                    </a:ln>
                  </pic:spPr>
                </pic:pic>
              </a:graphicData>
            </a:graphic>
          </wp:inline>
        </w:drawing>
      </w:r>
    </w:p>
    <w:p>
      <w:pPr>
        <w:widowControl/>
        <w:jc w:val="center"/>
        <w:textAlignment w:val="bottom"/>
      </w:pPr>
    </w:p>
    <w:p>
      <w:pPr>
        <w:widowControl/>
        <w:jc w:val="center"/>
        <w:textAlignment w:val="bottom"/>
      </w:pPr>
      <w:r>
        <w:drawing>
          <wp:inline distT="0" distB="0" distL="114300" distR="114300">
            <wp:extent cx="5271135" cy="4263390"/>
            <wp:effectExtent l="0" t="0" r="12065"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cstate="print"/>
                    <a:stretch>
                      <a:fillRect/>
                    </a:stretch>
                  </pic:blipFill>
                  <pic:spPr>
                    <a:xfrm>
                      <a:off x="0" y="0"/>
                      <a:ext cx="5271135" cy="4263390"/>
                    </a:xfrm>
                    <a:prstGeom prst="rect">
                      <a:avLst/>
                    </a:prstGeom>
                    <a:noFill/>
                    <a:ln>
                      <a:noFill/>
                    </a:ln>
                  </pic:spPr>
                </pic:pic>
              </a:graphicData>
            </a:graphic>
          </wp:inline>
        </w:drawing>
      </w:r>
    </w:p>
    <w:p>
      <w:pPr>
        <w:widowControl/>
        <w:jc w:val="center"/>
        <w:textAlignment w:val="bottom"/>
      </w:pPr>
    </w:p>
    <w:p>
      <w:pPr>
        <w:widowControl/>
        <w:jc w:val="center"/>
        <w:textAlignment w:val="bottom"/>
      </w:pPr>
      <w:r>
        <w:drawing>
          <wp:inline distT="0" distB="0" distL="114300" distR="114300">
            <wp:extent cx="5269230" cy="1966595"/>
            <wp:effectExtent l="0" t="0" r="127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stretch>
                      <a:fillRect/>
                    </a:stretch>
                  </pic:blipFill>
                  <pic:spPr>
                    <a:xfrm>
                      <a:off x="0" y="0"/>
                      <a:ext cx="5269230" cy="1966595"/>
                    </a:xfrm>
                    <a:prstGeom prst="rect">
                      <a:avLst/>
                    </a:prstGeom>
                    <a:noFill/>
                    <a:ln>
                      <a:noFill/>
                    </a:ln>
                  </pic:spPr>
                </pic:pic>
              </a:graphicData>
            </a:graphic>
          </wp:inline>
        </w:drawing>
      </w:r>
    </w:p>
    <w:p>
      <w:pPr>
        <w:widowControl/>
        <w:jc w:val="center"/>
        <w:textAlignment w:val="bottom"/>
      </w:pPr>
    </w:p>
    <w:p>
      <w:pPr>
        <w:widowControl/>
        <w:jc w:val="center"/>
        <w:textAlignment w:val="bottom"/>
      </w:pPr>
      <w:r>
        <w:drawing>
          <wp:inline distT="0" distB="0" distL="114300" distR="114300">
            <wp:extent cx="5273040" cy="1468755"/>
            <wp:effectExtent l="0" t="0" r="1016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stretch>
                      <a:fillRect/>
                    </a:stretch>
                  </pic:blipFill>
                  <pic:spPr>
                    <a:xfrm>
                      <a:off x="0" y="0"/>
                      <a:ext cx="5273040" cy="1468755"/>
                    </a:xfrm>
                    <a:prstGeom prst="rect">
                      <a:avLst/>
                    </a:prstGeom>
                    <a:noFill/>
                    <a:ln>
                      <a:noFill/>
                    </a:ln>
                  </pic:spPr>
                </pic:pic>
              </a:graphicData>
            </a:graphic>
          </wp:inline>
        </w:drawing>
      </w:r>
    </w:p>
    <w:p>
      <w:pPr>
        <w:widowControl/>
        <w:textAlignment w:val="bottom"/>
        <w:rPr>
          <w:rFonts w:ascii="宋体" w:hAnsi="宋体" w:eastAsia="宋体" w:cs="宋体"/>
          <w:b/>
          <w:bCs/>
          <w:color w:val="000000"/>
          <w:kern w:val="0"/>
          <w:sz w:val="32"/>
          <w:szCs w:val="32"/>
        </w:rPr>
      </w:pPr>
      <w:r>
        <w:drawing>
          <wp:inline distT="0" distB="0" distL="114300" distR="114300">
            <wp:extent cx="5267960" cy="2326005"/>
            <wp:effectExtent l="0" t="0" r="2540" b="1079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stretch>
                      <a:fillRect/>
                    </a:stretch>
                  </pic:blipFill>
                  <pic:spPr>
                    <a:xfrm>
                      <a:off x="0" y="0"/>
                      <a:ext cx="5267960" cy="2326005"/>
                    </a:xfrm>
                    <a:prstGeom prst="rect">
                      <a:avLst/>
                    </a:prstGeom>
                    <a:noFill/>
                    <a:ln>
                      <a:noFill/>
                    </a:ln>
                  </pic:spPr>
                </pic:pic>
              </a:graphicData>
            </a:graphic>
          </wp:inline>
        </w:drawing>
      </w:r>
    </w:p>
    <w:p>
      <w:pPr>
        <w:widowControl/>
        <w:textAlignment w:val="bottom"/>
        <w:rPr>
          <w:rFonts w:ascii="宋体" w:hAnsi="宋体" w:eastAsia="宋体" w:cs="宋体"/>
          <w:b/>
          <w:bCs/>
          <w:color w:val="000000"/>
          <w:kern w:val="0"/>
          <w:sz w:val="32"/>
          <w:szCs w:val="32"/>
        </w:rPr>
      </w:pPr>
    </w:p>
    <w:p>
      <w:pPr>
        <w:widowControl/>
        <w:textAlignment w:val="bottom"/>
        <w:rPr>
          <w:rFonts w:ascii="宋体" w:hAnsi="宋体" w:eastAsia="宋体" w:cs="宋体"/>
          <w:b/>
          <w:bCs/>
          <w:color w:val="000000"/>
          <w:sz w:val="32"/>
          <w:szCs w:val="32"/>
        </w:rPr>
      </w:pPr>
      <w:r>
        <w:rPr>
          <w:rFonts w:hint="eastAsia" w:ascii="宋体" w:hAnsi="宋体" w:eastAsia="宋体" w:cs="宋体"/>
          <w:b/>
          <w:bCs/>
          <w:color w:val="000000"/>
          <w:kern w:val="0"/>
          <w:sz w:val="32"/>
          <w:szCs w:val="32"/>
        </w:rPr>
        <w:t>第三部分  2020年度部门决算情况说明</w:t>
      </w:r>
    </w:p>
    <w:p>
      <w:pPr>
        <w:tabs>
          <w:tab w:val="left" w:pos="1005"/>
          <w:tab w:val="left" w:pos="2010"/>
          <w:tab w:val="left" w:pos="3015"/>
          <w:tab w:val="left" w:pos="4020"/>
          <w:tab w:val="left" w:pos="5025"/>
          <w:tab w:val="left" w:pos="6030"/>
          <w:tab w:val="left" w:pos="7035"/>
          <w:tab w:val="left" w:pos="8040"/>
        </w:tabs>
        <w:rPr>
          <w:rFonts w:ascii="Arial" w:hAnsi="Arial" w:cs="Arial"/>
          <w:color w:val="000000"/>
          <w:sz w:val="20"/>
          <w:szCs w:val="20"/>
        </w:rPr>
      </w:pPr>
      <w:r>
        <w:rPr>
          <w:rFonts w:hint="eastAsia" w:ascii="仿宋" w:hAnsi="仿宋" w:eastAsia="仿宋" w:cs="仿宋"/>
          <w:color w:val="000000"/>
          <w:kern w:val="0"/>
          <w:sz w:val="30"/>
          <w:szCs w:val="30"/>
        </w:rPr>
        <w:t xml:space="preserve"> </w:t>
      </w:r>
      <w:r>
        <w:rPr>
          <w:rFonts w:hint="eastAsia" w:ascii="仿宋" w:hAnsi="仿宋" w:eastAsia="仿宋" w:cs="仿宋"/>
          <w:color w:val="000000"/>
          <w:sz w:val="30"/>
          <w:szCs w:val="3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r>
        <w:rPr>
          <w:rFonts w:ascii="Arial" w:hAnsi="Arial" w:cs="Arial"/>
          <w:color w:val="000000"/>
          <w:sz w:val="20"/>
          <w:szCs w:val="20"/>
        </w:rPr>
        <w:tab/>
      </w:r>
    </w:p>
    <w:p>
      <w:pPr>
        <w:widowControl/>
        <w:jc w:val="left"/>
        <w:textAlignment w:val="bottom"/>
        <w:rPr>
          <w:rFonts w:ascii="仿宋" w:hAnsi="仿宋" w:eastAsia="仿宋" w:cs="仿宋"/>
          <w:color w:val="000000"/>
          <w:kern w:val="0"/>
          <w:sz w:val="32"/>
          <w:szCs w:val="32"/>
        </w:rPr>
      </w:pPr>
      <w:r>
        <w:rPr>
          <w:rFonts w:hint="eastAsia" w:ascii="黑体" w:hAnsi="宋体" w:eastAsia="黑体" w:cs="黑体"/>
          <w:color w:val="000000"/>
          <w:kern w:val="0"/>
          <w:sz w:val="32"/>
          <w:szCs w:val="32"/>
        </w:rPr>
        <w:t>一、收入决算情况说明</w:t>
      </w:r>
    </w:p>
    <w:p>
      <w:pPr>
        <w:widowControl/>
        <w:ind w:firstLine="640" w:firstLineChars="200"/>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本部门2020年度收入总计 </w:t>
      </w:r>
      <w:r>
        <w:rPr>
          <w:rFonts w:hint="eastAsia" w:ascii="仿宋_GB2312" w:hAnsi="仿宋" w:eastAsia="仿宋_GB2312"/>
          <w:sz w:val="32"/>
          <w:szCs w:val="32"/>
        </w:rPr>
        <w:t>22,191.99</w:t>
      </w:r>
      <w:r>
        <w:rPr>
          <w:rFonts w:hint="eastAsia" w:ascii="仿宋" w:hAnsi="仿宋" w:eastAsia="仿宋" w:cs="仿宋"/>
          <w:color w:val="000000"/>
          <w:kern w:val="0"/>
          <w:sz w:val="32"/>
          <w:szCs w:val="32"/>
        </w:rPr>
        <w:t>万元，其中年初结转和结</w:t>
      </w:r>
      <w:r>
        <w:rPr>
          <w:rFonts w:hint="eastAsia" w:ascii="仿宋" w:hAnsi="仿宋" w:eastAsia="仿宋" w:cs="仿宋"/>
          <w:color w:val="000000" w:themeColor="text1"/>
          <w:kern w:val="0"/>
          <w:sz w:val="32"/>
          <w:szCs w:val="32"/>
        </w:rPr>
        <w:t>余</w:t>
      </w:r>
      <w:r>
        <w:rPr>
          <w:rFonts w:hint="eastAsia" w:ascii="仿宋_GB2312" w:hAnsi="仿宋" w:eastAsia="仿宋_GB2312"/>
          <w:color w:val="000000" w:themeColor="text1"/>
          <w:sz w:val="32"/>
          <w:szCs w:val="32"/>
        </w:rPr>
        <w:t xml:space="preserve">3,323.82 </w:t>
      </w:r>
      <w:r>
        <w:rPr>
          <w:rFonts w:hint="eastAsia" w:ascii="仿宋" w:hAnsi="仿宋" w:eastAsia="仿宋" w:cs="仿宋"/>
          <w:color w:val="000000"/>
          <w:kern w:val="0"/>
          <w:sz w:val="32"/>
          <w:szCs w:val="32"/>
        </w:rPr>
        <w:t>万元（含对附属单位的补助支出），较2019年增加</w:t>
      </w:r>
      <w:r>
        <w:rPr>
          <w:rFonts w:hint="eastAsia" w:ascii="仿宋_GB2312" w:hAnsi="仿宋" w:eastAsia="仿宋_GB2312"/>
          <w:sz w:val="32"/>
          <w:szCs w:val="32"/>
        </w:rPr>
        <w:t>3790.85</w:t>
      </w:r>
      <w:r>
        <w:rPr>
          <w:rFonts w:hint="eastAsia" w:ascii="仿宋" w:hAnsi="仿宋" w:eastAsia="仿宋" w:cs="仿宋"/>
          <w:color w:val="000000"/>
          <w:kern w:val="0"/>
          <w:sz w:val="32"/>
          <w:szCs w:val="32"/>
        </w:rPr>
        <w:t>万元，增长</w:t>
      </w:r>
      <w:r>
        <w:rPr>
          <w:rFonts w:hint="eastAsia" w:ascii="仿宋_GB2312" w:hAnsi="仿宋" w:eastAsia="仿宋_GB2312"/>
          <w:sz w:val="32"/>
          <w:szCs w:val="32"/>
        </w:rPr>
        <w:t>206.01</w:t>
      </w:r>
      <w:r>
        <w:rPr>
          <w:rFonts w:hint="eastAsia" w:ascii="仿宋" w:hAnsi="仿宋" w:eastAsia="仿宋" w:cs="仿宋"/>
          <w:color w:val="000000"/>
          <w:kern w:val="0"/>
          <w:sz w:val="32"/>
          <w:szCs w:val="32"/>
        </w:rPr>
        <w:t>%；本年收入合计 18868.16万元，较2019年增加</w:t>
      </w:r>
      <w:r>
        <w:rPr>
          <w:rFonts w:hint="eastAsia" w:ascii="仿宋" w:hAnsi="仿宋" w:eastAsia="仿宋" w:cs="仿宋"/>
          <w:color w:val="000000" w:themeColor="text1"/>
          <w:kern w:val="0"/>
          <w:sz w:val="32"/>
          <w:szCs w:val="32"/>
        </w:rPr>
        <w:t>1518.15万</w:t>
      </w:r>
      <w:r>
        <w:rPr>
          <w:rFonts w:hint="eastAsia" w:ascii="仿宋" w:hAnsi="仿宋" w:eastAsia="仿宋" w:cs="仿宋"/>
          <w:color w:val="000000"/>
          <w:kern w:val="0"/>
          <w:sz w:val="32"/>
          <w:szCs w:val="32"/>
        </w:rPr>
        <w:t>元，增加8.75 %，主要原因是：因机构改革，单位合并至我局；新建30</w:t>
      </w:r>
      <w:r>
        <w:rPr>
          <w:rFonts w:hint="eastAsia" w:ascii="仿宋" w:hAnsi="仿宋" w:eastAsia="仿宋"/>
          <w:sz w:val="32"/>
          <w:szCs w:val="32"/>
        </w:rPr>
        <w:t>座公厕资金及朝阳新城清扫保洁经费年底落实到位。</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本年收入的具体构成为：财政拨款收入18868.16万元，占100%；事业收入0万元，占0 %；经营收入0万元，占0%；其他收入0万元，占0%。  </w:t>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二、支出决算情况说明</w:t>
      </w:r>
    </w:p>
    <w:p>
      <w:pPr>
        <w:widowControl/>
        <w:ind w:firstLine="640"/>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本部门2020年度支出总计21703.91万元，其中本年支出合计21703.91万元，较2019年增加6626.59万元，增加</w:t>
      </w:r>
      <w:r>
        <w:rPr>
          <w:rFonts w:hint="eastAsia" w:ascii="仿宋" w:hAnsi="仿宋" w:eastAsia="仿宋" w:cs="仿宋"/>
          <w:color w:val="000000" w:themeColor="text1"/>
          <w:kern w:val="0"/>
          <w:sz w:val="32"/>
          <w:szCs w:val="32"/>
        </w:rPr>
        <w:t>43.95%</w:t>
      </w:r>
      <w:r>
        <w:rPr>
          <w:rFonts w:hint="eastAsia" w:ascii="仿宋" w:hAnsi="仿宋" w:eastAsia="仿宋" w:cs="仿宋"/>
          <w:color w:val="000000"/>
          <w:kern w:val="0"/>
          <w:sz w:val="32"/>
          <w:szCs w:val="32"/>
        </w:rPr>
        <w:t>，主要原因是</w:t>
      </w:r>
      <w:r>
        <w:rPr>
          <w:rFonts w:hint="eastAsia" w:ascii="仿宋" w:hAnsi="仿宋" w:eastAsia="仿宋"/>
          <w:sz w:val="32"/>
          <w:szCs w:val="32"/>
        </w:rPr>
        <w:t>新建30座公厕资金及朝阳新城清扫保洁经费年底落实到位；本年度将对附属单位的补助支出科目调整为商品和服务支出科目</w:t>
      </w:r>
      <w:r>
        <w:rPr>
          <w:rFonts w:hint="eastAsia" w:ascii="仿宋" w:hAnsi="仿宋" w:eastAsia="仿宋" w:cs="仿宋"/>
          <w:color w:val="000000"/>
          <w:kern w:val="0"/>
          <w:sz w:val="32"/>
          <w:szCs w:val="32"/>
        </w:rPr>
        <w:t>。</w:t>
      </w:r>
    </w:p>
    <w:p>
      <w:pPr>
        <w:widowControl/>
        <w:ind w:firstLine="640"/>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年末结转和结余488.08万元，</w:t>
      </w:r>
      <w:r>
        <w:rPr>
          <w:rFonts w:hint="eastAsia" w:ascii="仿宋" w:hAnsi="仿宋" w:eastAsia="仿宋" w:cs="仿宋"/>
          <w:color w:val="000000" w:themeColor="text1"/>
          <w:kern w:val="0"/>
          <w:sz w:val="32"/>
          <w:szCs w:val="32"/>
        </w:rPr>
        <w:t>较2019年减少</w:t>
      </w:r>
      <w:r>
        <w:rPr>
          <w:rFonts w:hint="eastAsia" w:ascii="仿宋_GB2312" w:hAnsi="仿宋" w:eastAsia="仿宋_GB2312"/>
          <w:sz w:val="32"/>
          <w:szCs w:val="32"/>
        </w:rPr>
        <w:t>2835.74万元，</w:t>
      </w:r>
      <w:r>
        <w:rPr>
          <w:rFonts w:hint="eastAsia" w:ascii="仿宋" w:hAnsi="仿宋" w:eastAsia="仿宋" w:cs="仿宋"/>
          <w:color w:val="000000"/>
          <w:kern w:val="0"/>
          <w:sz w:val="32"/>
          <w:szCs w:val="32"/>
        </w:rPr>
        <w:t>下降</w:t>
      </w:r>
      <w:r>
        <w:rPr>
          <w:rFonts w:hint="eastAsia" w:ascii="仿宋_GB2312" w:hAnsi="仿宋" w:eastAsia="仿宋_GB2312"/>
          <w:sz w:val="32"/>
          <w:szCs w:val="32"/>
        </w:rPr>
        <w:t>85.32%</w:t>
      </w:r>
      <w:r>
        <w:rPr>
          <w:rFonts w:hint="eastAsia" w:ascii="仿宋" w:hAnsi="仿宋" w:eastAsia="仿宋" w:cs="仿宋"/>
          <w:color w:val="000000"/>
          <w:kern w:val="0"/>
          <w:sz w:val="32"/>
          <w:szCs w:val="32"/>
        </w:rPr>
        <w:t>，主要原因是：</w:t>
      </w:r>
      <w:r>
        <w:rPr>
          <w:rFonts w:hint="eastAsia" w:ascii="仿宋" w:hAnsi="仿宋" w:eastAsia="仿宋" w:cs="仿宋"/>
          <w:color w:val="000000" w:themeColor="text1"/>
          <w:kern w:val="0"/>
          <w:sz w:val="32"/>
          <w:szCs w:val="32"/>
        </w:rPr>
        <w:t>2019年</w:t>
      </w:r>
      <w:r>
        <w:rPr>
          <w:rFonts w:hint="eastAsia" w:ascii="仿宋" w:hAnsi="仿宋" w:eastAsia="仿宋" w:cs="仿宋"/>
          <w:color w:val="000000"/>
          <w:kern w:val="0"/>
          <w:sz w:val="32"/>
          <w:szCs w:val="32"/>
        </w:rPr>
        <w:t>年末结转和结余资金含</w:t>
      </w:r>
      <w:r>
        <w:rPr>
          <w:rFonts w:hint="eastAsia" w:ascii="仿宋" w:hAnsi="仿宋" w:eastAsia="仿宋"/>
          <w:sz w:val="32"/>
          <w:szCs w:val="32"/>
        </w:rPr>
        <w:t>对附属单位的补助支出科目额</w:t>
      </w:r>
      <w:r>
        <w:rPr>
          <w:rFonts w:hint="eastAsia" w:ascii="仿宋" w:hAnsi="仿宋" w:eastAsia="仿宋" w:cs="仿宋"/>
          <w:color w:val="000000"/>
          <w:kern w:val="0"/>
          <w:sz w:val="32"/>
          <w:szCs w:val="32"/>
        </w:rPr>
        <w:t xml:space="preserve">。 </w:t>
      </w:r>
    </w:p>
    <w:p>
      <w:pPr>
        <w:widowControl/>
        <w:jc w:val="left"/>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本年支出的具体构成为：基本支出 3555.47万元，占16.38 %；项目支出18148.43万元，占83.62%；经营支出 0万元，占0%；其他支出（对附属单位补助支出、上缴上级支出）0万元，占0%。</w:t>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三、财政拨款支出决算情况说明</w:t>
      </w:r>
    </w:p>
    <w:p>
      <w:pPr>
        <w:widowControl/>
        <w:ind w:firstLine="645"/>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本部门2020年度财政拨款本年支出年初预算数为 </w:t>
      </w:r>
      <w:r>
        <w:rPr>
          <w:rFonts w:hint="eastAsia" w:ascii="仿宋" w:hAnsi="仿宋" w:eastAsia="仿宋" w:cs="仿宋"/>
          <w:color w:val="000000" w:themeColor="text1"/>
          <w:kern w:val="0"/>
          <w:sz w:val="32"/>
          <w:szCs w:val="32"/>
        </w:rPr>
        <w:t>13921万元，决算数为21703.9万元</w:t>
      </w:r>
      <w:r>
        <w:rPr>
          <w:rFonts w:hint="eastAsia" w:ascii="仿宋" w:hAnsi="仿宋" w:eastAsia="仿宋" w:cs="仿宋"/>
          <w:color w:val="000000"/>
          <w:kern w:val="0"/>
          <w:sz w:val="32"/>
          <w:szCs w:val="32"/>
        </w:rPr>
        <w:t xml:space="preserve">，完成年初预算的  </w:t>
      </w:r>
      <w:r>
        <w:rPr>
          <w:rFonts w:hint="eastAsia" w:ascii="仿宋" w:hAnsi="仿宋" w:eastAsia="仿宋" w:cs="仿宋"/>
          <w:color w:val="000000" w:themeColor="text1"/>
          <w:kern w:val="0"/>
          <w:sz w:val="32"/>
          <w:szCs w:val="32"/>
        </w:rPr>
        <w:t>155.9%。其</w:t>
      </w:r>
      <w:r>
        <w:rPr>
          <w:rFonts w:hint="eastAsia" w:ascii="仿宋" w:hAnsi="仿宋" w:eastAsia="仿宋" w:cs="仿宋"/>
          <w:color w:val="000000"/>
          <w:kern w:val="0"/>
          <w:sz w:val="32"/>
          <w:szCs w:val="32"/>
        </w:rPr>
        <w:t>中：</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（一）</w:t>
      </w:r>
      <w:r>
        <w:rPr>
          <w:rFonts w:hint="eastAsia" w:ascii="仿宋_GB2312" w:hAnsi="仿宋" w:eastAsia="仿宋_GB2312"/>
          <w:sz w:val="32"/>
          <w:szCs w:val="32"/>
        </w:rPr>
        <w:t>社会保障和就业支出</w:t>
      </w:r>
      <w:r>
        <w:rPr>
          <w:rFonts w:hint="eastAsia" w:ascii="仿宋" w:hAnsi="仿宋" w:eastAsia="仿宋" w:cs="仿宋"/>
          <w:color w:val="000000"/>
          <w:kern w:val="0"/>
          <w:sz w:val="32"/>
          <w:szCs w:val="32"/>
        </w:rPr>
        <w:t>年初预算数为</w:t>
      </w:r>
      <w:r>
        <w:rPr>
          <w:rFonts w:hint="eastAsia" w:ascii="仿宋" w:hAnsi="仿宋" w:eastAsia="仿宋" w:cs="仿宋"/>
          <w:color w:val="000000" w:themeColor="text1"/>
          <w:kern w:val="0"/>
          <w:sz w:val="32"/>
          <w:szCs w:val="32"/>
        </w:rPr>
        <w:t>293.51万元</w:t>
      </w:r>
      <w:r>
        <w:rPr>
          <w:rFonts w:hint="eastAsia" w:ascii="仿宋" w:hAnsi="仿宋" w:eastAsia="仿宋" w:cs="仿宋"/>
          <w:color w:val="000000"/>
          <w:kern w:val="0"/>
          <w:sz w:val="32"/>
          <w:szCs w:val="32"/>
        </w:rPr>
        <w:t>，决算数为293.51万元，完成年初预算的100%。</w:t>
      </w:r>
    </w:p>
    <w:p>
      <w:pPr>
        <w:widowControl/>
        <w:textAlignment w:val="bottom"/>
        <w:rPr>
          <w:rFonts w:ascii="仿宋" w:hAnsi="仿宋" w:eastAsia="仿宋" w:cs="仿宋"/>
          <w:color w:val="000000" w:themeColor="text1"/>
          <w:sz w:val="32"/>
          <w:szCs w:val="32"/>
        </w:rPr>
      </w:pPr>
      <w:r>
        <w:rPr>
          <w:rFonts w:hint="eastAsia" w:ascii="仿宋" w:hAnsi="仿宋" w:eastAsia="仿宋" w:cs="仿宋"/>
          <w:color w:val="000000"/>
          <w:kern w:val="0"/>
          <w:sz w:val="32"/>
          <w:szCs w:val="32"/>
        </w:rPr>
        <w:t>（二）</w:t>
      </w:r>
      <w:r>
        <w:rPr>
          <w:rFonts w:hint="eastAsia" w:ascii="仿宋_GB2312" w:hAnsi="仿宋" w:eastAsia="仿宋_GB2312"/>
          <w:sz w:val="32"/>
          <w:szCs w:val="32"/>
        </w:rPr>
        <w:t>城乡社区支出</w:t>
      </w:r>
      <w:r>
        <w:rPr>
          <w:rFonts w:hint="eastAsia" w:ascii="仿宋" w:hAnsi="仿宋" w:eastAsia="仿宋" w:cs="仿宋"/>
          <w:color w:val="000000"/>
          <w:kern w:val="0"/>
          <w:sz w:val="32"/>
          <w:szCs w:val="32"/>
        </w:rPr>
        <w:t>年初预算数为13627.49万元，决算数为</w:t>
      </w:r>
      <w:r>
        <w:rPr>
          <w:rFonts w:hint="eastAsia" w:ascii="仿宋_GB2312" w:hAnsi="仿宋" w:eastAsia="仿宋_GB2312"/>
          <w:sz w:val="32"/>
          <w:szCs w:val="32"/>
        </w:rPr>
        <w:t>21410.39</w:t>
      </w:r>
      <w:r>
        <w:rPr>
          <w:rFonts w:hint="eastAsia" w:ascii="仿宋" w:hAnsi="仿宋" w:eastAsia="仿宋" w:cs="仿宋"/>
          <w:color w:val="000000"/>
          <w:kern w:val="0"/>
          <w:sz w:val="32"/>
          <w:szCs w:val="32"/>
        </w:rPr>
        <w:t>万元，完成年初预算的</w:t>
      </w:r>
      <w:r>
        <w:rPr>
          <w:rFonts w:hint="eastAsia" w:ascii="仿宋" w:hAnsi="仿宋" w:eastAsia="仿宋" w:cs="仿宋"/>
          <w:color w:val="000000" w:themeColor="text1"/>
          <w:kern w:val="0"/>
          <w:sz w:val="32"/>
          <w:szCs w:val="32"/>
        </w:rPr>
        <w:t>163.64%。</w:t>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四、一般公共预算财政拨款基本支出决算情况说明</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本部门2020年度一般公共预算财政拨款基本支出 3555.47万元，其中：</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（一）工资福利支出3282.9万元，较2019年增加565.32万元，增加20.8%。主要原因是：因机构改革需要，单位合并至我局，该批人员工资福利及社会保障缴费都在项目列支。</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（二）商品和服务支出267.95万元，较2019年减少63.98万元，下降19.27%。</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（三）对个人和家庭补助4.62万元，较2019年减少3.09 万元，减少40.07%，主要原因是：退休抚恤金减少。</w:t>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五、一般公共预算财政拨款“三公”经费支出决算情况说明</w:t>
      </w:r>
    </w:p>
    <w:p>
      <w:pPr>
        <w:widowControl/>
        <w:ind w:firstLine="640"/>
        <w:jc w:val="left"/>
        <w:textAlignment w:val="bottom"/>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本部门2020年度一般公共预算财政拨款“三公”经费支出年初预算数为 0万元，决算数为 0万元，完成预算的</w:t>
      </w:r>
    </w:p>
    <w:p>
      <w:pPr>
        <w:widowControl/>
        <w:jc w:val="left"/>
        <w:textAlignment w:val="bottom"/>
        <w:rPr>
          <w:rFonts w:hint="eastAsia"/>
        </w:rPr>
      </w:pPr>
      <w:r>
        <w:rPr>
          <w:rFonts w:hint="eastAsia" w:ascii="仿宋" w:hAnsi="仿宋" w:eastAsia="仿宋" w:cs="仿宋"/>
          <w:color w:val="000000"/>
          <w:kern w:val="0"/>
          <w:sz w:val="32"/>
          <w:szCs w:val="32"/>
        </w:rPr>
        <w:t>0%，决算数较2019年增加（减少） 0万元，增长（下降） 0 %，其中：</w:t>
      </w:r>
    </w:p>
    <w:p>
      <w:pPr>
        <w:widowControl/>
        <w:ind w:firstLine="640"/>
        <w:jc w:val="left"/>
        <w:textAlignment w:val="bottom"/>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（一）因公出国（境）支出年初预算数为 0 万元，决算数为0万元，完成预算的0 %，决算数较2019年增加（减少）0万元，增长（下降）0 %。决算数较年初预算数增加（减少）的主要原因是：无预算安排。</w:t>
      </w:r>
    </w:p>
    <w:p>
      <w:pPr>
        <w:widowControl/>
        <w:ind w:firstLine="640"/>
        <w:jc w:val="left"/>
        <w:textAlignment w:val="bottom"/>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（二）公务接待费支出年初预算数为 0 万元，决算数为 0 万元，完成预算的0 %，决算数较2019年增加（减少） 万元，增长（下降）0 %。决算数较年初预算数增加（减少）的主要原因是：无预算安排。</w:t>
      </w:r>
    </w:p>
    <w:p>
      <w:pPr>
        <w:widowControl/>
        <w:ind w:firstLine="640"/>
        <w:jc w:val="left"/>
        <w:textAlignment w:val="bottom"/>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（三）公务用车购置及运行维护费支出 0 万元，其中公务用车购置年初预算数为 0 万元，决算数为0 万元，完成预算的0 %，决算数较2019年增加（减少）0 万元，增长（下降）0 %。决算数较年初预算数增加（减少）的主要原因是：无预算安排；公务用车运行维护费支出年初预算数为 0 万元，决算数为 0万元，完成预算的 0%，决算数较2019年增加（减少） 0 万元，增长（下降） 0 %。决算数较年初预算数增加（减少）的主要原因是：无预算安排。</w:t>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六、机关运行经费支出情况说明</w:t>
      </w:r>
    </w:p>
    <w:p>
      <w:pPr>
        <w:widowControl/>
        <w:ind w:firstLine="640"/>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本部门2020年度机关运行经费支出267.95万元。（与部门决算中行政单位和参照公务员法管理事业单位一般公共预算财政拨款基本支出中公用经费保持一致）。</w:t>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七、政府采购支出情况说明</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 xml:space="preserve">    本部门2020年度政府采购支出总额</w:t>
      </w:r>
      <w:r>
        <w:rPr>
          <w:rFonts w:ascii="仿宋_GB2312" w:hAnsi="仿宋" w:eastAsia="仿宋_GB2312" w:cs="仿宋"/>
          <w:bCs/>
          <w:sz w:val="32"/>
          <w:szCs w:val="32"/>
        </w:rPr>
        <w:t>1,355.09</w:t>
      </w:r>
      <w:r>
        <w:rPr>
          <w:rFonts w:hint="eastAsia" w:ascii="仿宋" w:hAnsi="仿宋" w:eastAsia="仿宋" w:cs="仿宋"/>
          <w:color w:val="000000"/>
          <w:kern w:val="0"/>
          <w:sz w:val="32"/>
          <w:szCs w:val="32"/>
        </w:rPr>
        <w:t>万元，其中：政府采购货物支出</w:t>
      </w:r>
      <w:r>
        <w:rPr>
          <w:rFonts w:ascii="仿宋_GB2312" w:hAnsi="仿宋" w:eastAsia="仿宋_GB2312" w:cs="仿宋"/>
          <w:bCs/>
          <w:sz w:val="32"/>
          <w:szCs w:val="32"/>
        </w:rPr>
        <w:t>982.82</w:t>
      </w:r>
      <w:r>
        <w:rPr>
          <w:rFonts w:hint="eastAsia" w:ascii="仿宋" w:hAnsi="仿宋" w:eastAsia="仿宋" w:cs="仿宋"/>
          <w:color w:val="000000"/>
          <w:kern w:val="0"/>
          <w:sz w:val="32"/>
          <w:szCs w:val="32"/>
        </w:rPr>
        <w:t xml:space="preserve">万元、政府采购工程支出 </w:t>
      </w:r>
      <w:r>
        <w:rPr>
          <w:rFonts w:ascii="仿宋_GB2312" w:hAnsi="仿宋" w:eastAsia="仿宋_GB2312" w:cs="仿宋"/>
          <w:bCs/>
          <w:sz w:val="32"/>
          <w:szCs w:val="32"/>
        </w:rPr>
        <w:t>336.21</w:t>
      </w:r>
      <w:r>
        <w:rPr>
          <w:rFonts w:hint="eastAsia" w:ascii="仿宋" w:hAnsi="仿宋" w:eastAsia="仿宋" w:cs="仿宋"/>
          <w:color w:val="000000"/>
          <w:kern w:val="0"/>
          <w:sz w:val="32"/>
          <w:szCs w:val="32"/>
        </w:rPr>
        <w:t>万元、政府采购服务支出</w:t>
      </w:r>
      <w:r>
        <w:rPr>
          <w:rFonts w:ascii="仿宋_GB2312" w:hAnsi="仿宋" w:eastAsia="仿宋_GB2312" w:cs="仿宋"/>
          <w:bCs/>
          <w:sz w:val="32"/>
          <w:szCs w:val="32"/>
        </w:rPr>
        <w:t>36.05</w:t>
      </w:r>
      <w:r>
        <w:rPr>
          <w:rFonts w:hint="eastAsia" w:ascii="仿宋" w:hAnsi="仿宋" w:eastAsia="仿宋" w:cs="仿宋"/>
          <w:color w:val="000000"/>
          <w:kern w:val="0"/>
          <w:sz w:val="32"/>
          <w:szCs w:val="32"/>
        </w:rPr>
        <w:t>万元。授予中小企业合同金额</w:t>
      </w:r>
      <w:r>
        <w:rPr>
          <w:rFonts w:ascii="仿宋_GB2312" w:hAnsi="仿宋" w:eastAsia="仿宋_GB2312" w:cs="仿宋"/>
          <w:bCs/>
          <w:sz w:val="32"/>
          <w:szCs w:val="32"/>
        </w:rPr>
        <w:t>1,355.09</w:t>
      </w:r>
      <w:r>
        <w:rPr>
          <w:rFonts w:hint="eastAsia" w:ascii="仿宋" w:hAnsi="仿宋" w:eastAsia="仿宋" w:cs="仿宋"/>
          <w:color w:val="000000"/>
          <w:kern w:val="0"/>
          <w:sz w:val="32"/>
          <w:szCs w:val="32"/>
        </w:rPr>
        <w:t>万元，占政府采购支出总额的</w:t>
      </w:r>
      <w:r>
        <w:rPr>
          <w:rFonts w:hint="eastAsia" w:ascii="仿宋_GB2312" w:hAnsi="仿宋" w:eastAsia="仿宋_GB2312" w:cs="仿宋"/>
          <w:bCs/>
          <w:sz w:val="32"/>
          <w:szCs w:val="32"/>
        </w:rPr>
        <w:t>100</w:t>
      </w:r>
      <w:r>
        <w:rPr>
          <w:rFonts w:hint="eastAsia" w:ascii="仿宋" w:hAnsi="仿宋" w:eastAsia="仿宋" w:cs="仿宋"/>
          <w:color w:val="000000"/>
          <w:kern w:val="0"/>
          <w:sz w:val="32"/>
          <w:szCs w:val="32"/>
        </w:rPr>
        <w:t>%，其中：授予小微企业合同金额</w:t>
      </w:r>
      <w:r>
        <w:rPr>
          <w:rFonts w:ascii="仿宋_GB2312" w:hAnsi="仿宋" w:eastAsia="仿宋_GB2312" w:cs="仿宋"/>
          <w:bCs/>
          <w:sz w:val="32"/>
          <w:szCs w:val="32"/>
        </w:rPr>
        <w:t>1,355.09</w:t>
      </w:r>
      <w:r>
        <w:rPr>
          <w:rFonts w:hint="eastAsia" w:ascii="仿宋" w:hAnsi="仿宋" w:eastAsia="仿宋" w:cs="仿宋"/>
          <w:color w:val="000000"/>
          <w:kern w:val="0"/>
          <w:sz w:val="32"/>
          <w:szCs w:val="32"/>
        </w:rPr>
        <w:t>万元，占政府采购支出总额的</w:t>
      </w:r>
      <w:r>
        <w:rPr>
          <w:rFonts w:ascii="仿宋_GB2312" w:hAnsi="仿宋" w:eastAsia="仿宋_GB2312" w:cs="仿宋"/>
          <w:bCs/>
          <w:sz w:val="32"/>
          <w:szCs w:val="32"/>
        </w:rPr>
        <w:t>1,355.09</w:t>
      </w:r>
      <w:r>
        <w:rPr>
          <w:rFonts w:hint="eastAsia" w:ascii="仿宋" w:hAnsi="仿宋" w:eastAsia="仿宋" w:cs="仿宋"/>
          <w:color w:val="000000"/>
          <w:kern w:val="0"/>
          <w:sz w:val="32"/>
          <w:szCs w:val="32"/>
        </w:rPr>
        <w:t>%。</w:t>
      </w:r>
    </w:p>
    <w:p>
      <w:pPr>
        <w:widowControl/>
        <w:numPr>
          <w:ilvl w:val="0"/>
          <w:numId w:val="2"/>
        </w:numPr>
        <w:jc w:val="left"/>
        <w:textAlignment w:val="bottom"/>
        <w:rPr>
          <w:rFonts w:ascii="黑体" w:hAnsi="宋体" w:eastAsia="黑体" w:cs="黑体"/>
          <w:color w:val="000000"/>
          <w:kern w:val="0"/>
          <w:sz w:val="32"/>
          <w:szCs w:val="32"/>
        </w:rPr>
      </w:pPr>
      <w:r>
        <w:rPr>
          <w:rFonts w:hint="eastAsia" w:ascii="黑体" w:hAnsi="宋体" w:eastAsia="黑体" w:cs="黑体"/>
          <w:color w:val="000000"/>
          <w:kern w:val="0"/>
          <w:sz w:val="32"/>
          <w:szCs w:val="32"/>
        </w:rPr>
        <w:t>国有资产占用情况说明</w:t>
      </w:r>
    </w:p>
    <w:p>
      <w:pPr>
        <w:widowControl/>
        <w:ind w:firstLine="640" w:firstLineChars="200"/>
        <w:jc w:val="left"/>
        <w:textAlignment w:val="bottom"/>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截止2020年12月31日，本单位国有资产占用情况见公开10表《国有资产占用情况表》。其中车辆中的其他用车主要</w:t>
      </w:r>
      <w:bookmarkStart w:id="0" w:name="_GoBack"/>
      <w:bookmarkEnd w:id="0"/>
      <w:r>
        <w:rPr>
          <w:rFonts w:hint="eastAsia" w:ascii="仿宋" w:hAnsi="仿宋" w:eastAsia="仿宋" w:cs="仿宋"/>
          <w:color w:val="000000"/>
          <w:kern w:val="0"/>
          <w:sz w:val="32"/>
          <w:szCs w:val="32"/>
        </w:rPr>
        <w:t>是无。</w:t>
      </w:r>
    </w:p>
    <w:p>
      <w:pPr>
        <w:widowControl/>
        <w:jc w:val="left"/>
        <w:textAlignment w:val="bottom"/>
        <w:rPr>
          <w:rFonts w:ascii="黑体" w:hAnsi="宋体" w:eastAsia="黑体" w:cs="黑体"/>
          <w:color w:val="000000"/>
          <w:sz w:val="32"/>
          <w:szCs w:val="32"/>
        </w:rPr>
      </w:pPr>
      <w:r>
        <w:rPr>
          <w:rFonts w:hint="eastAsia" w:ascii="黑体" w:hAnsi="宋体" w:eastAsia="黑体" w:cs="黑体"/>
          <w:color w:val="000000"/>
          <w:kern w:val="0"/>
          <w:sz w:val="32"/>
          <w:szCs w:val="32"/>
        </w:rPr>
        <w:t>九、预算绩效情况说明</w:t>
      </w:r>
    </w:p>
    <w:p>
      <w:pPr>
        <w:widowControl/>
        <w:jc w:val="left"/>
        <w:textAlignment w:val="bottom"/>
        <w:rPr>
          <w:rFonts w:ascii="仿宋" w:hAnsi="仿宋" w:eastAsia="仿宋" w:cs="仿宋"/>
          <w:b/>
          <w:bCs/>
          <w:color w:val="000000"/>
          <w:sz w:val="32"/>
          <w:szCs w:val="32"/>
        </w:rPr>
      </w:pPr>
      <w:r>
        <w:rPr>
          <w:rFonts w:hint="eastAsia" w:ascii="仿宋" w:hAnsi="仿宋" w:eastAsia="仿宋" w:cs="仿宋"/>
          <w:b/>
          <w:bCs/>
          <w:color w:val="000000"/>
          <w:kern w:val="0"/>
          <w:sz w:val="32"/>
          <w:szCs w:val="32"/>
        </w:rPr>
        <w:t>（一）绩效管理工作开展情况。</w:t>
      </w:r>
    </w:p>
    <w:p>
      <w:pPr>
        <w:widowControl/>
        <w:ind w:firstLine="640"/>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根据预算绩效管理要求，我局组织对2020年度一般公共预算项目支出所有项目全面开展绩效自评，共涉及资金</w:t>
      </w:r>
      <w:r>
        <w:rPr>
          <w:rFonts w:hint="eastAsia" w:ascii="仿宋_GB2312" w:hAnsi="仿宋" w:eastAsia="仿宋_GB2312"/>
          <w:sz w:val="32"/>
          <w:szCs w:val="32"/>
        </w:rPr>
        <w:t>7175.81</w:t>
      </w:r>
      <w:r>
        <w:rPr>
          <w:rFonts w:hint="eastAsia" w:ascii="仿宋" w:hAnsi="仿宋" w:eastAsia="仿宋" w:cs="仿宋"/>
          <w:color w:val="000000"/>
          <w:kern w:val="0"/>
          <w:sz w:val="32"/>
          <w:szCs w:val="32"/>
        </w:rPr>
        <w:t>万元，占一般公共预算项目支出总额的</w:t>
      </w:r>
      <w:r>
        <w:rPr>
          <w:rFonts w:hint="eastAsia" w:ascii="仿宋_GB2312" w:hAnsi="仿宋" w:eastAsia="仿宋_GB2312"/>
          <w:sz w:val="32"/>
          <w:szCs w:val="32"/>
        </w:rPr>
        <w:t>100</w:t>
      </w:r>
      <w:r>
        <w:rPr>
          <w:rFonts w:hint="eastAsia" w:ascii="仿宋" w:hAnsi="仿宋" w:eastAsia="仿宋" w:cs="仿宋"/>
          <w:color w:val="000000"/>
          <w:kern w:val="0"/>
          <w:sz w:val="32"/>
          <w:szCs w:val="32"/>
        </w:rPr>
        <w:t>%。</w:t>
      </w:r>
    </w:p>
    <w:p>
      <w:pPr>
        <w:widowControl/>
        <w:ind w:firstLine="640"/>
        <w:jc w:val="left"/>
        <w:textAlignment w:val="bottom"/>
        <w:rPr>
          <w:rFonts w:hint="eastAsia" w:ascii="仿宋" w:hAnsi="仿宋" w:eastAsia="仿宋" w:cs="仿宋"/>
          <w:color w:val="000000"/>
          <w:kern w:val="0"/>
          <w:sz w:val="32"/>
          <w:szCs w:val="32"/>
        </w:rPr>
      </w:pPr>
      <w:r>
        <w:rPr>
          <w:rFonts w:hint="eastAsia" w:ascii="仿宋" w:hAnsi="仿宋" w:eastAsia="仿宋" w:cs="仿宋"/>
          <w:color w:val="000000"/>
          <w:kern w:val="0"/>
          <w:sz w:val="32"/>
          <w:szCs w:val="32"/>
        </w:rPr>
        <w:t>组织对 “火车站综合管理办工作经费”、 “年度考核奖惩经费”等12个项目进行了部门评价，涉及一般公共预算支出</w:t>
      </w:r>
      <w:r>
        <w:rPr>
          <w:rFonts w:hint="eastAsia" w:ascii="仿宋_GB2312" w:hAnsi="仿宋" w:eastAsia="仿宋_GB2312"/>
          <w:sz w:val="32"/>
          <w:szCs w:val="32"/>
        </w:rPr>
        <w:t>6873.67</w:t>
      </w:r>
      <w:r>
        <w:rPr>
          <w:rFonts w:hint="eastAsia" w:ascii="仿宋" w:hAnsi="仿宋" w:eastAsia="仿宋" w:cs="仿宋"/>
          <w:color w:val="000000"/>
          <w:kern w:val="0"/>
          <w:sz w:val="32"/>
          <w:szCs w:val="32"/>
        </w:rPr>
        <w:t>万元。从评价情况来看，2020年，各项目单位均能充分发挥区级财政资金的作用，将绩效管理机制纳入项目预算管理，较好地完成了各项目的年度绩效目标，确保了区级财政资金的使用效益和效率。</w:t>
      </w:r>
    </w:p>
    <w:p>
      <w:pPr>
        <w:widowControl/>
        <w:ind w:firstLine="640"/>
        <w:jc w:val="left"/>
        <w:textAlignment w:val="bottom"/>
        <w:rPr>
          <w:rFonts w:hint="eastAsia" w:ascii="Arial" w:hAnsi="Arial" w:cs="Arial"/>
          <w:color w:val="000000"/>
          <w:sz w:val="32"/>
          <w:szCs w:val="32"/>
        </w:rPr>
      </w:pPr>
      <w:r>
        <w:rPr>
          <w:rFonts w:hint="eastAsia" w:ascii="仿宋" w:hAnsi="仿宋" w:eastAsia="仿宋" w:cs="仿宋"/>
          <w:color w:val="000000"/>
          <w:kern w:val="0"/>
          <w:sz w:val="32"/>
          <w:szCs w:val="32"/>
        </w:rPr>
        <w:t>从评价情况来看，2020年，我局严格按照区委、区政府部署要求，把城市管理作为全国文明城市创建和彰显省会当担，唱响“南昌品牌”，城市建管十大提升行动的重中之重，牢牢扛起主力军责任，全力抓好“城市出形象”这篇大文章，围绕城市管理目标任务，积极推进各项工作提质增效，、环境卫生保洁、市容市貌整治等方面都取得了阶段性成效，“马路本色”工作和执法管理工作在市里考核排名成绩优异，城市形象和品位发生了历史性改观。</w:t>
      </w:r>
      <w:r>
        <w:rPr>
          <w:rFonts w:hint="eastAsia" w:ascii="仿宋" w:hAnsi="仿宋" w:eastAsia="仿宋" w:cs="仿宋"/>
          <w:color w:val="000000"/>
          <w:sz w:val="32"/>
          <w:szCs w:val="32"/>
        </w:rPr>
        <w:tab/>
      </w:r>
      <w:r>
        <w:rPr>
          <w:rFonts w:ascii="Arial" w:hAnsi="Arial" w:cs="Arial"/>
          <w:color w:val="000000"/>
          <w:sz w:val="32"/>
          <w:szCs w:val="32"/>
        </w:rPr>
        <w:tab/>
      </w:r>
      <w:r>
        <w:rPr>
          <w:rFonts w:ascii="Arial" w:hAnsi="Arial" w:cs="Arial"/>
          <w:color w:val="000000"/>
          <w:sz w:val="32"/>
          <w:szCs w:val="32"/>
        </w:rPr>
        <w:tab/>
      </w:r>
    </w:p>
    <w:p>
      <w:pPr>
        <w:widowControl/>
        <w:jc w:val="left"/>
        <w:textAlignment w:val="bottom"/>
        <w:rPr>
          <w:rFonts w:ascii="Arial" w:hAnsi="Arial" w:cs="Arial"/>
          <w:color w:val="000000"/>
          <w:sz w:val="32"/>
          <w:szCs w:val="32"/>
        </w:rPr>
      </w:pPr>
      <w:r>
        <w:rPr>
          <w:rFonts w:ascii="Arial" w:hAnsi="Arial" w:cs="Arial"/>
          <w:color w:val="000000"/>
          <w:sz w:val="32"/>
          <w:szCs w:val="32"/>
        </w:rPr>
        <w:tab/>
      </w:r>
      <w:r>
        <w:rPr>
          <w:rFonts w:hint="eastAsia" w:ascii="仿宋" w:hAnsi="仿宋" w:eastAsia="仿宋" w:cs="仿宋"/>
          <w:b/>
          <w:bCs/>
          <w:color w:val="000000"/>
          <w:kern w:val="0"/>
          <w:sz w:val="32"/>
          <w:szCs w:val="32"/>
        </w:rPr>
        <w:t>（二）部门决算中项目绩效自评结果</w:t>
      </w:r>
      <w:r>
        <w:rPr>
          <w:rFonts w:hint="eastAsia" w:ascii="仿宋" w:hAnsi="仿宋" w:eastAsia="仿宋" w:cs="仿宋"/>
          <w:color w:val="000000"/>
          <w:kern w:val="0"/>
          <w:sz w:val="32"/>
          <w:szCs w:val="32"/>
        </w:rPr>
        <w:t>。</w:t>
      </w:r>
    </w:p>
    <w:p>
      <w:pPr>
        <w:widowControl/>
        <w:ind w:firstLine="640" w:firstLineChars="200"/>
        <w:jc w:val="left"/>
        <w:textAlignment w:val="bottom"/>
        <w:rPr>
          <w:rFonts w:ascii="仿宋" w:hAnsi="仿宋" w:eastAsia="仿宋" w:cs="仿宋"/>
          <w:color w:val="000000"/>
          <w:kern w:val="0"/>
          <w:sz w:val="32"/>
          <w:szCs w:val="32"/>
        </w:rPr>
      </w:pPr>
      <w:r>
        <w:rPr>
          <w:rFonts w:hint="eastAsia" w:ascii="仿宋" w:hAnsi="仿宋" w:eastAsia="仿宋" w:cs="仿宋"/>
          <w:color w:val="000000"/>
          <w:kern w:val="0"/>
          <w:sz w:val="32"/>
          <w:szCs w:val="32"/>
        </w:rPr>
        <w:t>我局今年在区级部门决算中反映局本级“机械化作业和道路洒水冲洗经费”项目绩效自评结果。</w:t>
      </w:r>
    </w:p>
    <w:p>
      <w:pPr>
        <w:spacing w:line="560" w:lineRule="exact"/>
        <w:ind w:firstLine="640" w:firstLineChars="200"/>
        <w:rPr>
          <w:rFonts w:ascii="仿宋" w:hAnsi="仿宋" w:eastAsia="仿宋"/>
          <w:color w:val="000000" w:themeColor="text1"/>
          <w:sz w:val="32"/>
          <w:szCs w:val="32"/>
        </w:rPr>
      </w:pPr>
      <w:r>
        <w:rPr>
          <w:rFonts w:ascii="仿宋" w:hAnsi="仿宋" w:eastAsia="仿宋" w:cs="仿宋"/>
          <w:color w:val="000000" w:themeColor="text1"/>
          <w:sz w:val="32"/>
          <w:szCs w:val="32"/>
        </w:rPr>
        <w:t>2020</w:t>
      </w:r>
      <w:r>
        <w:rPr>
          <w:rFonts w:hint="eastAsia" w:ascii="仿宋" w:hAnsi="仿宋" w:eastAsia="仿宋" w:cs="仿宋"/>
          <w:color w:val="000000" w:themeColor="text1"/>
          <w:sz w:val="32"/>
          <w:szCs w:val="32"/>
        </w:rPr>
        <w:t>年，在区委、区政府的坚强领导和市城管委的有力指导下，我局认真贯彻党的十九大精神，按照市、区两级关于城市管理的总体部署要求，不断提升城市管理质量效益。较圆满地完成了本辖区机扫、洒水等工作，</w:t>
      </w:r>
      <w:r>
        <w:rPr>
          <w:rFonts w:hint="eastAsia" w:ascii="仿宋" w:hAnsi="仿宋" w:eastAsia="仿宋"/>
          <w:color w:val="000000" w:themeColor="text1"/>
          <w:sz w:val="32"/>
          <w:szCs w:val="32"/>
        </w:rPr>
        <w:t>保证了辖区内各道路的干净整洁。</w:t>
      </w:r>
    </w:p>
    <w:p>
      <w:pPr>
        <w:spacing w:line="560" w:lineRule="exact"/>
        <w:ind w:firstLine="640" w:firstLineChars="200"/>
        <w:rPr>
          <w:rFonts w:ascii="仿宋" w:hAnsi="仿宋" w:eastAsia="仿宋"/>
          <w:color w:val="000000" w:themeColor="text1"/>
          <w:sz w:val="32"/>
          <w:szCs w:val="32"/>
        </w:rPr>
      </w:pPr>
      <w:r>
        <w:rPr>
          <w:rFonts w:hint="eastAsia" w:ascii="仿宋" w:hAnsi="仿宋" w:eastAsia="仿宋"/>
          <w:color w:val="000000" w:themeColor="text1"/>
          <w:sz w:val="32"/>
          <w:szCs w:val="32"/>
        </w:rPr>
        <w:t>经综合评定，20</w:t>
      </w:r>
      <w:r>
        <w:rPr>
          <w:rFonts w:ascii="仿宋" w:hAnsi="仿宋" w:eastAsia="仿宋"/>
          <w:color w:val="000000" w:themeColor="text1"/>
          <w:sz w:val="32"/>
          <w:szCs w:val="32"/>
        </w:rPr>
        <w:t>20</w:t>
      </w:r>
      <w:r>
        <w:rPr>
          <w:rFonts w:hint="eastAsia" w:ascii="仿宋" w:hAnsi="仿宋" w:eastAsia="仿宋"/>
          <w:color w:val="000000" w:themeColor="text1"/>
          <w:sz w:val="32"/>
          <w:szCs w:val="32"/>
        </w:rPr>
        <w:t>年度</w:t>
      </w:r>
      <w:r>
        <w:rPr>
          <w:rFonts w:hint="eastAsia" w:ascii="仿宋" w:hAnsi="仿宋" w:eastAsia="仿宋" w:cs="仿宋"/>
          <w:color w:val="000000" w:themeColor="text1"/>
          <w:sz w:val="32"/>
          <w:szCs w:val="32"/>
        </w:rPr>
        <w:t>机械化作业和道路洒水冲洗经费</w:t>
      </w:r>
      <w:r>
        <w:rPr>
          <w:rFonts w:hint="eastAsia" w:ascii="仿宋" w:hAnsi="仿宋" w:eastAsia="仿宋"/>
          <w:color w:val="000000" w:themeColor="text1"/>
          <w:sz w:val="32"/>
          <w:szCs w:val="32"/>
        </w:rPr>
        <w:t>绩效评分93</w:t>
      </w:r>
      <w:r>
        <w:rPr>
          <w:rFonts w:hint="eastAsia" w:ascii="仿宋" w:hAnsi="仿宋" w:eastAsia="仿宋"/>
          <w:bCs/>
          <w:color w:val="000000" w:themeColor="text1"/>
          <w:sz w:val="32"/>
          <w:szCs w:val="32"/>
        </w:rPr>
        <w:t>分，</w:t>
      </w:r>
      <w:r>
        <w:rPr>
          <w:rFonts w:hint="eastAsia" w:ascii="仿宋" w:hAnsi="仿宋" w:eastAsia="仿宋"/>
          <w:color w:val="000000" w:themeColor="text1"/>
          <w:sz w:val="32"/>
          <w:szCs w:val="32"/>
        </w:rPr>
        <w:t>项目绩效评价等级为“优秀”。</w:t>
      </w:r>
    </w:p>
    <w:p>
      <w:pPr>
        <w:widowControl/>
        <w:ind w:firstLine="315" w:firstLineChars="98"/>
        <w:jc w:val="left"/>
        <w:textAlignment w:val="bottom"/>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（三）部门评价项目绩效评价结果。</w:t>
      </w:r>
    </w:p>
    <w:tbl>
      <w:tblPr>
        <w:tblStyle w:val="8"/>
        <w:tblW w:w="545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6"/>
        <w:gridCol w:w="1005"/>
        <w:gridCol w:w="1542"/>
        <w:gridCol w:w="960"/>
        <w:gridCol w:w="3864"/>
        <w:gridCol w:w="930"/>
        <w:gridCol w:w="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blHeader/>
          <w:jc w:val="center"/>
        </w:trPr>
        <w:tc>
          <w:tcPr>
            <w:tcW w:w="519" w:type="pct"/>
            <w:shd w:val="clear" w:color="auto" w:fill="FFFFFF"/>
            <w:vAlign w:val="center"/>
          </w:tcPr>
          <w:p>
            <w:pPr>
              <w:jc w:val="center"/>
              <w:rPr>
                <w:rFonts w:ascii="黑体" w:hAnsi="黑体" w:eastAsia="黑体"/>
                <w:bCs/>
                <w:color w:val="000000"/>
                <w:sz w:val="18"/>
                <w:szCs w:val="18"/>
              </w:rPr>
            </w:pPr>
            <w:r>
              <w:rPr>
                <w:rFonts w:hint="eastAsia" w:ascii="黑体" w:hAnsi="黑体" w:eastAsia="黑体"/>
                <w:bCs/>
                <w:color w:val="000000"/>
                <w:sz w:val="18"/>
                <w:szCs w:val="18"/>
              </w:rPr>
              <w:t>一级指标</w:t>
            </w:r>
          </w:p>
        </w:tc>
        <w:tc>
          <w:tcPr>
            <w:tcW w:w="540" w:type="pct"/>
            <w:shd w:val="clear" w:color="auto" w:fill="FFFFFF"/>
            <w:vAlign w:val="center"/>
          </w:tcPr>
          <w:p>
            <w:pPr>
              <w:jc w:val="center"/>
              <w:rPr>
                <w:rFonts w:ascii="黑体" w:hAnsi="黑体" w:eastAsia="黑体"/>
                <w:bCs/>
                <w:color w:val="000000"/>
                <w:sz w:val="18"/>
                <w:szCs w:val="18"/>
              </w:rPr>
            </w:pPr>
            <w:r>
              <w:rPr>
                <w:rFonts w:hint="eastAsia" w:ascii="黑体" w:hAnsi="黑体" w:eastAsia="黑体"/>
                <w:bCs/>
                <w:color w:val="000000"/>
                <w:sz w:val="18"/>
                <w:szCs w:val="18"/>
              </w:rPr>
              <w:t>二级指标</w:t>
            </w:r>
          </w:p>
        </w:tc>
        <w:tc>
          <w:tcPr>
            <w:tcW w:w="829" w:type="pct"/>
            <w:shd w:val="clear" w:color="auto" w:fill="FFFFFF"/>
            <w:vAlign w:val="center"/>
          </w:tcPr>
          <w:p>
            <w:pPr>
              <w:jc w:val="center"/>
              <w:rPr>
                <w:rFonts w:ascii="黑体" w:hAnsi="黑体" w:eastAsia="黑体"/>
                <w:bCs/>
                <w:color w:val="000000"/>
                <w:sz w:val="18"/>
                <w:szCs w:val="18"/>
              </w:rPr>
            </w:pPr>
            <w:r>
              <w:rPr>
                <w:rFonts w:hint="eastAsia" w:ascii="黑体" w:hAnsi="黑体" w:eastAsia="黑体"/>
                <w:bCs/>
                <w:color w:val="000000"/>
                <w:sz w:val="18"/>
                <w:szCs w:val="18"/>
              </w:rPr>
              <w:t>三级指标</w:t>
            </w:r>
          </w:p>
        </w:tc>
        <w:tc>
          <w:tcPr>
            <w:tcW w:w="516" w:type="pct"/>
            <w:shd w:val="clear" w:color="auto" w:fill="FFFFFF"/>
            <w:vAlign w:val="center"/>
          </w:tcPr>
          <w:p>
            <w:pPr>
              <w:jc w:val="center"/>
              <w:rPr>
                <w:rFonts w:ascii="黑体" w:hAnsi="黑体" w:eastAsia="黑体"/>
                <w:bCs/>
                <w:color w:val="000000"/>
                <w:sz w:val="18"/>
                <w:szCs w:val="18"/>
              </w:rPr>
            </w:pPr>
            <w:r>
              <w:rPr>
                <w:rFonts w:hint="eastAsia" w:ascii="黑体" w:hAnsi="黑体" w:eastAsia="黑体"/>
                <w:bCs/>
                <w:color w:val="000000"/>
                <w:sz w:val="18"/>
                <w:szCs w:val="18"/>
              </w:rPr>
              <w:t>分值权重</w:t>
            </w:r>
          </w:p>
        </w:tc>
        <w:tc>
          <w:tcPr>
            <w:tcW w:w="2077" w:type="pct"/>
            <w:shd w:val="clear" w:color="auto" w:fill="FFFFFF"/>
            <w:vAlign w:val="center"/>
          </w:tcPr>
          <w:p>
            <w:pPr>
              <w:jc w:val="center"/>
              <w:rPr>
                <w:rFonts w:ascii="黑体" w:hAnsi="黑体" w:eastAsia="黑体"/>
                <w:bCs/>
                <w:color w:val="000000"/>
                <w:sz w:val="18"/>
                <w:szCs w:val="18"/>
              </w:rPr>
            </w:pPr>
            <w:r>
              <w:rPr>
                <w:rFonts w:hint="eastAsia" w:ascii="黑体" w:hAnsi="黑体" w:eastAsia="黑体"/>
                <w:bCs/>
                <w:color w:val="000000"/>
                <w:sz w:val="18"/>
                <w:szCs w:val="18"/>
              </w:rPr>
              <w:t>评分标准</w:t>
            </w:r>
          </w:p>
        </w:tc>
        <w:tc>
          <w:tcPr>
            <w:tcW w:w="520" w:type="pct"/>
            <w:gridSpan w:val="2"/>
            <w:shd w:val="clear" w:color="auto" w:fill="FFFFFF"/>
            <w:vAlign w:val="center"/>
          </w:tcPr>
          <w:p>
            <w:pPr>
              <w:ind w:right="29" w:rightChars="14"/>
              <w:jc w:val="center"/>
              <w:rPr>
                <w:rFonts w:ascii="黑体" w:hAnsi="黑体" w:eastAsia="黑体"/>
                <w:bCs/>
                <w:color w:val="000000"/>
                <w:sz w:val="18"/>
                <w:szCs w:val="18"/>
              </w:rPr>
            </w:pPr>
            <w:r>
              <w:rPr>
                <w:rFonts w:hint="eastAsia" w:ascii="黑体" w:hAnsi="黑体" w:eastAsia="黑体"/>
                <w:bCs/>
                <w:color w:val="000000"/>
                <w:sz w:val="18"/>
                <w:szCs w:val="18"/>
              </w:rPr>
              <w:t>评价得分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5" w:hRule="atLeast"/>
          <w:jc w:val="center"/>
        </w:trPr>
        <w:tc>
          <w:tcPr>
            <w:tcW w:w="519" w:type="pct"/>
            <w:vMerge w:val="restart"/>
            <w:shd w:val="clear" w:color="auto"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决策     （15分）　</w:t>
            </w:r>
          </w:p>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　</w:t>
            </w:r>
          </w:p>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8"/>
                <w:szCs w:val="18"/>
              </w:rPr>
              <w:t>　</w:t>
            </w: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项目立项   （4分）　</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立项依据</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充分性</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auto"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立项是否符合国家法律法规、国民经济发展规划和相关政策：②项目立项是否符合行业发展规划和政策要求；③项目立项是否与部门职责范围相符，属于部门履职所需；④项目是否属于公共财政支持范围。四项各占1/4权重分，每有一项不符，扣除相应权重分。</w:t>
            </w: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立项程序</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规范性</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auto"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①项目是否按照规定的程序申请设立；②审批文件、材料是否符合相关要求；两项各占1/2权重分，每有一项不符，扣除相应权重分。</w:t>
            </w: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绩效目标   （6分）　</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绩效目标</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合理性</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4</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项目是否有绩效目标；②项目绩效目标与实际工作内容是否具有相关性；③项目预期产出效益和效果是否符合正常的业绩水平；④是否与预算确定的项目投资额或资金量相匹配。四项各占1/4权重分，每有一项不符，扣除相应权重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绩效指标</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明确性</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①是否将项目绩效目标细化分解为具体绩效指标；②是否通过清晰、可衡量的指标值予以体现。两项各占1/2权重分，每有一项不符，扣除相应权重分。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5"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资金投入   （5分）</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　</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预算编制</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科学性</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c>
          <w:tcPr>
            <w:tcW w:w="2077" w:type="pct"/>
            <w:shd w:val="clear" w:color="auto"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①预算内容与项目内容是否匹配；②预算额度测算依据是否充分，是否按照标准编制；③预算确定的项目投资额或资金量是否与工作任务相匹配三项各占1/3权重分，每有一项不符，扣除相应权重分。</w:t>
            </w: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资金分配</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合理性</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auto"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①预算资金分配依据是否充分；②资金分配额度是否合理，与实际是否相适应。二项各占1/2权重分，每有一项不符，扣除相应权重分。</w:t>
            </w: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jc w:val="center"/>
        </w:trPr>
        <w:tc>
          <w:tcPr>
            <w:tcW w:w="519" w:type="pct"/>
            <w:vMerge w:val="restart"/>
            <w:shd w:val="clear" w:color="auto"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过程     （25分）</w:t>
            </w:r>
          </w:p>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8"/>
                <w:szCs w:val="18"/>
              </w:rPr>
              <w:t>　　</w:t>
            </w: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资金管理  （10分）</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资金到位率</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资金到位率=（实际到位资金/预算资金）X100%。实际到位资金：一定时期（本年度或项目期）内落实到具体项目的资金。预算资金：一定时期预算安排到具体项目的资金。资金到位率达100%得满分，低于100%按指标权重比例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预算执行率</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c>
          <w:tcPr>
            <w:tcW w:w="2077" w:type="pct"/>
            <w:shd w:val="clear" w:color="auto"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预算执行率=（实际支出资金/实际到位资金）X100%。实际支出资金：一定时期（本年度或项目期）内项目实际拨付的资金。预算执行率为100%得满分，低于100%按指标权重比例计分。</w:t>
            </w: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资金使用</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合规性</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是否符合国家财经法规和财务管理制度以及有关专项资金管理办法的规定；②资金的拨付是否有完整的审批程序和手续；③是否符合项目预算批复或合同规定的用途；④是否存在截留、挤占、挪用、虚列支出等情况。 ①②③每有一项不符，各扣1分；④不符合，该项指标为0分。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组织实施  （15分）</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　</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管理制度</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健全性</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是否己制定或具有相应的财务、业务管理制度、采购管理制度、质量管理制度、安全管理制度、档案管理制度、合同管理制度、组织管理办法；②上述制度是否合法、合规、完整。二项各占1/2权重分，每有一项不符，扣除相应权重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5"/>
                <w:szCs w:val="15"/>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制度执行</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有效性</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10</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①是否遵守法律法规和相关管理规定；②项目调整及支出调整手续是否完备；③项目合同书、验收报告、技术鉴定等资料是否齐全并及时归档；④项目实施的人员条件、场地设备、信息支撑等是否落实到位。四项各占1/4权重分，每有一项不符，扣除相应权重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jc w:val="center"/>
        </w:trPr>
        <w:tc>
          <w:tcPr>
            <w:tcW w:w="519" w:type="pct"/>
            <w:vMerge w:val="restar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8"/>
                <w:szCs w:val="18"/>
              </w:rPr>
              <w:t>产出     （30分）</w:t>
            </w: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产出数量</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（10分）</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日冲洗、机扫作业次数</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得分=每天实际冲洗、机扫作业次数/每天计划实际冲洗、机扫作业次数</w:t>
            </w:r>
            <w:r>
              <w:rPr>
                <w:rFonts w:ascii="仿宋" w:hAnsi="仿宋" w:eastAsia="仿宋" w:cs="仿宋"/>
                <w:color w:val="000000"/>
                <w:sz w:val="13"/>
                <w:szCs w:val="13"/>
              </w:rPr>
              <w:t>6</w:t>
            </w:r>
            <w:r>
              <w:rPr>
                <w:rFonts w:hint="eastAsia" w:ascii="仿宋" w:hAnsi="仿宋" w:eastAsia="仿宋" w:cs="仿宋"/>
                <w:color w:val="000000"/>
                <w:sz w:val="13"/>
                <w:szCs w:val="13"/>
              </w:rPr>
              <w:t>次*100%*分值，超过标准分以标准分计分。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机扫作业长度</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得分=实际机扫作业长度/计划机扫作业长度140494米*100%*分值，超过标准分以标准分计分。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kern w:val="0"/>
                <w:sz w:val="13"/>
                <w:szCs w:val="13"/>
              </w:rPr>
            </w:pPr>
            <w:r>
              <w:rPr>
                <w:rFonts w:hint="eastAsia" w:ascii="仿宋" w:hAnsi="仿宋" w:eastAsia="仿宋" w:cs="仿宋"/>
                <w:color w:val="000000"/>
                <w:sz w:val="13"/>
                <w:szCs w:val="13"/>
              </w:rPr>
              <w:t>洒水冲洗作业长度</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得分=实际冲洗作业长度/计划冲洗作业长度140494米*100%*分值，超过标准分以标准分计分。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管护严控区道路</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得分=实际管护道路/计划管护道路</w:t>
            </w:r>
            <w:r>
              <w:rPr>
                <w:rFonts w:ascii="仿宋" w:hAnsi="仿宋" w:eastAsia="仿宋" w:cs="仿宋"/>
                <w:color w:val="000000"/>
                <w:sz w:val="13"/>
                <w:szCs w:val="13"/>
              </w:rPr>
              <w:t>32</w:t>
            </w:r>
            <w:r>
              <w:rPr>
                <w:rFonts w:hint="eastAsia" w:ascii="仿宋" w:hAnsi="仿宋" w:eastAsia="仿宋" w:cs="仿宋"/>
                <w:color w:val="000000"/>
                <w:sz w:val="13"/>
                <w:szCs w:val="13"/>
              </w:rPr>
              <w:t>条*100%*分值，超过标准分以标准分计分。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0"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产出质量</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（10分）</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机动车道机扫作业</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达标率</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4</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年度目标值为100%，得分=实际达标率*分值，超过标准分以标准分计分。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路面冲洗机械化作业</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达标率</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年度目标值为100%，得分=实际达标率*分值，超过标准分以标准分计分。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人行道冲洗机械化作业达标率</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年度目标值为100%，得分=实际达标率*分值，超过标准分以标准分计分。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restar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产出时效</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（5分）</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机动车道每天机扫2遍</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时效指标目标值为100%，达到100%为满分，否则不得分。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vMerge w:val="continue"/>
            <w:shd w:val="clear" w:color="auto" w:fill="FFFFFF"/>
            <w:vAlign w:val="center"/>
          </w:tcPr>
          <w:p>
            <w:pPr>
              <w:spacing w:line="200" w:lineRule="exact"/>
              <w:jc w:val="center"/>
              <w:rPr>
                <w:rFonts w:ascii="仿宋" w:hAnsi="仿宋" w:eastAsia="仿宋" w:cs="仿宋"/>
                <w:color w:val="000000"/>
                <w:sz w:val="13"/>
                <w:szCs w:val="13"/>
              </w:rPr>
            </w:pP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路面冲洗每天≥1次</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c>
          <w:tcPr>
            <w:tcW w:w="2077" w:type="pct"/>
            <w:shd w:val="clear" w:color="000000"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时效指标目标值为100%，达到100%为满分，否则不得分。</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产出成本</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（5分）</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成本控制率</w:t>
            </w:r>
          </w:p>
        </w:tc>
        <w:tc>
          <w:tcPr>
            <w:tcW w:w="516" w:type="pct"/>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c>
          <w:tcPr>
            <w:tcW w:w="2077" w:type="pct"/>
            <w:shd w:val="clear" w:color="000000" w:fill="FFFFFF"/>
            <w:vAlign w:val="center"/>
          </w:tcPr>
          <w:p>
            <w:pPr>
              <w:spacing w:line="160" w:lineRule="exact"/>
              <w:ind w:right="-62"/>
              <w:rPr>
                <w:rFonts w:ascii="仿宋" w:hAnsi="仿宋" w:eastAsia="仿宋" w:cs="仿宋"/>
                <w:color w:val="000000"/>
                <w:sz w:val="13"/>
                <w:szCs w:val="13"/>
              </w:rPr>
            </w:pPr>
            <w:r>
              <w:rPr>
                <w:rFonts w:hint="eastAsia" w:ascii="仿宋" w:hAnsi="仿宋" w:eastAsia="仿宋" w:cs="仿宋"/>
                <w:color w:val="000000"/>
                <w:sz w:val="13"/>
                <w:szCs w:val="13"/>
              </w:rPr>
              <w:t>机械化作业152.64万元、道路洒水冲洗经费323.85万元，全部</w:t>
            </w:r>
            <w:r>
              <w:rPr>
                <w:rFonts w:hint="eastAsia" w:ascii="仿宋" w:hAnsi="仿宋" w:eastAsia="仿宋" w:cs="仿宋"/>
                <w:sz w:val="13"/>
                <w:szCs w:val="13"/>
              </w:rPr>
              <w:t>达标得满分，一项不达标扣相应分值。</w:t>
            </w:r>
          </w:p>
        </w:tc>
        <w:tc>
          <w:tcPr>
            <w:tcW w:w="520" w:type="pct"/>
            <w:gridSpan w:val="2"/>
            <w:shd w:val="clear" w:color="000000"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4" w:hRule="atLeast"/>
          <w:jc w:val="center"/>
        </w:trPr>
        <w:tc>
          <w:tcPr>
            <w:tcW w:w="519" w:type="pct"/>
            <w:vMerge w:val="restart"/>
            <w:shd w:val="clear" w:color="auto"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效益</w:t>
            </w:r>
          </w:p>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（2</w:t>
            </w:r>
            <w:r>
              <w:rPr>
                <w:rFonts w:ascii="仿宋" w:hAnsi="仿宋" w:eastAsia="仿宋" w:cs="仿宋"/>
                <w:color w:val="000000"/>
                <w:sz w:val="18"/>
                <w:szCs w:val="18"/>
              </w:rPr>
              <w:t>5</w:t>
            </w:r>
            <w:r>
              <w:rPr>
                <w:rFonts w:hint="eastAsia" w:ascii="仿宋" w:hAnsi="仿宋" w:eastAsia="仿宋" w:cs="仿宋"/>
                <w:color w:val="000000"/>
                <w:sz w:val="18"/>
                <w:szCs w:val="18"/>
              </w:rPr>
              <w:t>分）　</w:t>
            </w:r>
          </w:p>
        </w:tc>
        <w:tc>
          <w:tcPr>
            <w:tcW w:w="540"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社会效益</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（1</w:t>
            </w:r>
            <w:r>
              <w:rPr>
                <w:rFonts w:ascii="仿宋" w:hAnsi="仿宋" w:eastAsia="仿宋" w:cs="仿宋"/>
                <w:color w:val="000000"/>
                <w:sz w:val="13"/>
                <w:szCs w:val="13"/>
              </w:rPr>
              <w:t>5</w:t>
            </w:r>
            <w:r>
              <w:rPr>
                <w:rFonts w:hint="eastAsia" w:ascii="仿宋" w:hAnsi="仿宋" w:eastAsia="仿宋" w:cs="仿宋"/>
                <w:color w:val="000000"/>
                <w:sz w:val="13"/>
                <w:szCs w:val="13"/>
              </w:rPr>
              <w:t>分）</w:t>
            </w:r>
          </w:p>
        </w:tc>
        <w:tc>
          <w:tcPr>
            <w:tcW w:w="829"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kern w:val="0"/>
                <w:sz w:val="13"/>
                <w:szCs w:val="13"/>
              </w:rPr>
              <w:t>保持并提高辖区道路卫生状况提升城市形象</w:t>
            </w:r>
          </w:p>
        </w:tc>
        <w:tc>
          <w:tcPr>
            <w:tcW w:w="516" w:type="pct"/>
            <w:shd w:val="clear" w:color="auto" w:fill="FFFFFF"/>
            <w:vAlign w:val="center"/>
          </w:tcPr>
          <w:p>
            <w:pPr>
              <w:spacing w:line="24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15</w:t>
            </w:r>
          </w:p>
        </w:tc>
        <w:tc>
          <w:tcPr>
            <w:tcW w:w="2077" w:type="pct"/>
            <w:vMerge w:val="restart"/>
            <w:shd w:val="clear" w:color="auto"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定性指标根据指标完成情况分为：全部或基本达成预期指标、部分达成预期指标并具有一定效果、未达成预期指标且效果较差三档，分别按照100%-80%（含）、80%-60%（含）、60-0%合理填写完成比例。                        得分=完成率*分值</w:t>
            </w: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生态效益</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（5分）</w:t>
            </w:r>
          </w:p>
        </w:tc>
        <w:tc>
          <w:tcPr>
            <w:tcW w:w="829" w:type="pct"/>
            <w:shd w:val="clear" w:color="auto" w:fill="FFFFFF"/>
            <w:vAlign w:val="center"/>
          </w:tcPr>
          <w:p>
            <w:pPr>
              <w:spacing w:line="240" w:lineRule="exact"/>
              <w:jc w:val="center"/>
              <w:rPr>
                <w:rFonts w:ascii="仿宋" w:hAnsi="仿宋" w:eastAsia="仿宋" w:cs="仿宋"/>
                <w:color w:val="000000"/>
                <w:sz w:val="13"/>
                <w:szCs w:val="13"/>
              </w:rPr>
            </w:pPr>
            <w:r>
              <w:rPr>
                <w:rFonts w:hint="eastAsia" w:ascii="仿宋" w:hAnsi="仿宋" w:eastAsia="仿宋" w:cs="仿宋"/>
                <w:color w:val="000000"/>
                <w:kern w:val="0"/>
                <w:sz w:val="13"/>
                <w:szCs w:val="13"/>
              </w:rPr>
              <w:t>提升道路净洁度</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c>
          <w:tcPr>
            <w:tcW w:w="2077" w:type="pct"/>
            <w:vMerge w:val="continue"/>
            <w:shd w:val="clear" w:color="auto" w:fill="FFFFFF"/>
            <w:vAlign w:val="center"/>
          </w:tcPr>
          <w:p>
            <w:pPr>
              <w:spacing w:line="240" w:lineRule="exact"/>
              <w:rPr>
                <w:rFonts w:ascii="仿宋" w:hAnsi="仿宋" w:eastAsia="仿宋" w:cs="仿宋"/>
                <w:color w:val="000000"/>
                <w:sz w:val="13"/>
                <w:szCs w:val="13"/>
              </w:rPr>
            </w:pP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19" w:type="pct"/>
            <w:vMerge w:val="continue"/>
            <w:shd w:val="clear" w:color="auto" w:fill="FFFFFF"/>
            <w:vAlign w:val="center"/>
          </w:tcPr>
          <w:p>
            <w:pPr>
              <w:spacing w:line="240" w:lineRule="exact"/>
              <w:jc w:val="center"/>
              <w:rPr>
                <w:rFonts w:ascii="仿宋" w:hAnsi="仿宋" w:eastAsia="仿宋" w:cs="仿宋"/>
                <w:color w:val="000000"/>
                <w:sz w:val="18"/>
                <w:szCs w:val="18"/>
              </w:rPr>
            </w:pPr>
          </w:p>
        </w:tc>
        <w:tc>
          <w:tcPr>
            <w:tcW w:w="540" w:type="pct"/>
            <w:shd w:val="clear" w:color="auto" w:fill="FFFFFF"/>
            <w:vAlign w:val="center"/>
          </w:tcPr>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可持续效益</w:t>
            </w:r>
          </w:p>
          <w:p>
            <w:pPr>
              <w:spacing w:line="20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（5分）</w:t>
            </w:r>
          </w:p>
        </w:tc>
        <w:tc>
          <w:tcPr>
            <w:tcW w:w="829" w:type="pct"/>
            <w:shd w:val="clear" w:color="auto" w:fill="FFFFFF"/>
            <w:vAlign w:val="center"/>
          </w:tcPr>
          <w:p>
            <w:pPr>
              <w:spacing w:line="240" w:lineRule="exact"/>
              <w:jc w:val="center"/>
              <w:rPr>
                <w:rFonts w:ascii="仿宋" w:hAnsi="仿宋" w:eastAsia="仿宋" w:cs="仿宋"/>
                <w:color w:val="000000"/>
                <w:sz w:val="13"/>
                <w:szCs w:val="13"/>
              </w:rPr>
            </w:pPr>
            <w:r>
              <w:rPr>
                <w:rFonts w:hint="eastAsia" w:ascii="仿宋" w:hAnsi="仿宋" w:eastAsia="仿宋" w:cs="仿宋"/>
                <w:color w:val="000000"/>
                <w:kern w:val="0"/>
                <w:sz w:val="13"/>
                <w:szCs w:val="13"/>
              </w:rPr>
              <w:t>环卫作业机械化水平持续提高</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c>
          <w:tcPr>
            <w:tcW w:w="2077" w:type="pct"/>
            <w:vMerge w:val="continue"/>
            <w:shd w:val="clear" w:color="auto" w:fill="FFFFFF"/>
            <w:vAlign w:val="center"/>
          </w:tcPr>
          <w:p>
            <w:pPr>
              <w:spacing w:line="240" w:lineRule="exact"/>
              <w:rPr>
                <w:rFonts w:ascii="仿宋" w:hAnsi="仿宋" w:eastAsia="仿宋" w:cs="仿宋"/>
                <w:color w:val="000000"/>
                <w:sz w:val="13"/>
                <w:szCs w:val="13"/>
              </w:rPr>
            </w:pP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519" w:type="pct"/>
            <w:shd w:val="clear" w:color="auto" w:fill="FFFFFF"/>
            <w:vAlign w:val="center"/>
          </w:tcPr>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满意度</w:t>
            </w:r>
          </w:p>
          <w:p>
            <w:pPr>
              <w:spacing w:line="240" w:lineRule="exact"/>
              <w:jc w:val="center"/>
              <w:rPr>
                <w:rFonts w:ascii="仿宋" w:hAnsi="仿宋" w:eastAsia="仿宋" w:cs="仿宋"/>
                <w:color w:val="000000"/>
                <w:sz w:val="18"/>
                <w:szCs w:val="18"/>
              </w:rPr>
            </w:pPr>
            <w:r>
              <w:rPr>
                <w:rFonts w:hint="eastAsia" w:ascii="仿宋" w:hAnsi="仿宋" w:eastAsia="仿宋" w:cs="仿宋"/>
                <w:color w:val="000000"/>
                <w:sz w:val="18"/>
                <w:szCs w:val="18"/>
              </w:rPr>
              <w:t>（5分）</w:t>
            </w:r>
          </w:p>
        </w:tc>
        <w:tc>
          <w:tcPr>
            <w:tcW w:w="540" w:type="pct"/>
            <w:shd w:val="clear" w:color="auto" w:fill="FFFFFF"/>
            <w:vAlign w:val="center"/>
          </w:tcPr>
          <w:p>
            <w:pPr>
              <w:spacing w:line="16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社会公众或服务对象满意度（5分）</w:t>
            </w:r>
          </w:p>
        </w:tc>
        <w:tc>
          <w:tcPr>
            <w:tcW w:w="829" w:type="pct"/>
            <w:shd w:val="clear" w:color="auto" w:fill="FFFFFF"/>
            <w:vAlign w:val="center"/>
          </w:tcPr>
          <w:p>
            <w:pPr>
              <w:spacing w:line="240" w:lineRule="exact"/>
              <w:jc w:val="center"/>
              <w:rPr>
                <w:rFonts w:ascii="仿宋" w:hAnsi="仿宋" w:eastAsia="仿宋" w:cs="仿宋"/>
                <w:color w:val="000000"/>
                <w:sz w:val="13"/>
                <w:szCs w:val="13"/>
              </w:rPr>
            </w:pPr>
            <w:r>
              <w:rPr>
                <w:rFonts w:hint="eastAsia" w:ascii="仿宋" w:hAnsi="仿宋" w:eastAsia="仿宋" w:cs="仿宋"/>
                <w:color w:val="000000"/>
                <w:sz w:val="13"/>
                <w:szCs w:val="13"/>
              </w:rPr>
              <w:t>公众满意度</w:t>
            </w:r>
          </w:p>
        </w:tc>
        <w:tc>
          <w:tcPr>
            <w:tcW w:w="516" w:type="pct"/>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5</w:t>
            </w:r>
          </w:p>
        </w:tc>
        <w:tc>
          <w:tcPr>
            <w:tcW w:w="2077" w:type="pct"/>
            <w:shd w:val="clear" w:color="auto" w:fill="FFFFFF"/>
            <w:vAlign w:val="center"/>
          </w:tcPr>
          <w:p>
            <w:pPr>
              <w:spacing w:line="160" w:lineRule="exact"/>
              <w:rPr>
                <w:rFonts w:ascii="仿宋" w:hAnsi="仿宋" w:eastAsia="仿宋" w:cs="仿宋"/>
                <w:color w:val="000000"/>
                <w:sz w:val="13"/>
                <w:szCs w:val="13"/>
              </w:rPr>
            </w:pPr>
            <w:r>
              <w:rPr>
                <w:rFonts w:hint="eastAsia" w:ascii="仿宋" w:hAnsi="仿宋" w:eastAsia="仿宋" w:cs="仿宋"/>
                <w:color w:val="000000"/>
                <w:sz w:val="13"/>
                <w:szCs w:val="13"/>
              </w:rPr>
              <w:t>满意度90%以上得5分，90%以下每降低5%扣1分，扣完为止。</w:t>
            </w:r>
          </w:p>
        </w:tc>
        <w:tc>
          <w:tcPr>
            <w:tcW w:w="520" w:type="pct"/>
            <w:gridSpan w:val="2"/>
            <w:shd w:val="clear" w:color="auto" w:fill="FFFFFF"/>
            <w:vAlign w:val="center"/>
          </w:tcPr>
          <w:p>
            <w:pPr>
              <w:spacing w:line="240" w:lineRule="exact"/>
              <w:jc w:val="center"/>
              <w:rPr>
                <w:rFonts w:ascii="仿宋" w:hAnsi="仿宋" w:eastAsia="仿宋" w:cs="仿宋"/>
                <w:color w:val="000000"/>
                <w:sz w:val="15"/>
                <w:szCs w:val="15"/>
              </w:rPr>
            </w:pPr>
            <w:r>
              <w:rPr>
                <w:rFonts w:hint="eastAsia" w:ascii="仿宋" w:hAnsi="仿宋" w:eastAsia="仿宋" w:cs="仿宋"/>
                <w:color w:val="000000"/>
                <w:sz w:val="15"/>
                <w:szCs w:val="15"/>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20" w:type="pct"/>
          <w:trHeight w:val="411" w:hRule="atLeast"/>
          <w:jc w:val="center"/>
        </w:trPr>
        <w:tc>
          <w:tcPr>
            <w:tcW w:w="4480" w:type="pct"/>
            <w:gridSpan w:val="5"/>
            <w:shd w:val="clear" w:color="auto" w:fill="FFFFFF"/>
            <w:vAlign w:val="center"/>
          </w:tcPr>
          <w:p>
            <w:pPr>
              <w:tabs>
                <w:tab w:val="left" w:pos="3125"/>
              </w:tabs>
              <w:spacing w:line="240" w:lineRule="exact"/>
              <w:jc w:val="center"/>
              <w:rPr>
                <w:rFonts w:ascii="仿宋" w:hAnsi="仿宋" w:eastAsia="仿宋" w:cs="仿宋"/>
                <w:b/>
                <w:color w:val="000000"/>
                <w:szCs w:val="21"/>
              </w:rPr>
            </w:pPr>
            <w:r>
              <w:rPr>
                <w:rFonts w:hint="eastAsia" w:ascii="仿宋" w:hAnsi="仿宋" w:eastAsia="仿宋" w:cs="仿宋"/>
                <w:b/>
                <w:color w:val="000000"/>
                <w:sz w:val="18"/>
                <w:szCs w:val="18"/>
              </w:rPr>
              <w:t>评价得分</w:t>
            </w:r>
          </w:p>
        </w:tc>
        <w:tc>
          <w:tcPr>
            <w:tcW w:w="500" w:type="pct"/>
            <w:shd w:val="clear" w:color="auto" w:fill="FFFFFF"/>
            <w:vAlign w:val="center"/>
          </w:tcPr>
          <w:p>
            <w:pPr>
              <w:tabs>
                <w:tab w:val="left" w:pos="3125"/>
              </w:tabs>
              <w:spacing w:line="240" w:lineRule="exact"/>
              <w:jc w:val="center"/>
              <w:rPr>
                <w:rFonts w:ascii="仿宋" w:hAnsi="仿宋" w:eastAsia="仿宋" w:cs="仿宋"/>
                <w:b/>
                <w:color w:val="000000"/>
                <w:szCs w:val="21"/>
              </w:rPr>
            </w:pPr>
            <w:r>
              <w:rPr>
                <w:rFonts w:ascii="仿宋" w:hAnsi="仿宋" w:eastAsia="仿宋" w:cs="仿宋"/>
                <w:b/>
                <w:color w:val="000000"/>
                <w:szCs w:val="21"/>
              </w:rPr>
              <w:t>93</w:t>
            </w:r>
          </w:p>
        </w:tc>
      </w:tr>
    </w:tbl>
    <w:p>
      <w:pPr>
        <w:spacing w:line="560" w:lineRule="exact"/>
      </w:pPr>
      <w:r>
        <w:rPr>
          <w:rFonts w:hint="eastAsia" w:ascii="仿宋" w:hAnsi="仿宋" w:eastAsia="仿宋" w:cs="仿宋"/>
          <w:b/>
          <w:color w:val="000000" w:themeColor="text1"/>
          <w:sz w:val="32"/>
          <w:szCs w:val="32"/>
        </w:rPr>
        <w:t xml:space="preserve">   </w:t>
      </w:r>
    </w:p>
    <w:p>
      <w:pPr>
        <w:widowControl/>
        <w:jc w:val="center"/>
        <w:textAlignment w:val="bottom"/>
        <w:rPr>
          <w:rFonts w:ascii="宋体" w:hAnsi="宋体" w:eastAsia="宋体" w:cs="宋体"/>
          <w:b/>
          <w:bCs/>
          <w:color w:val="000000"/>
          <w:sz w:val="36"/>
          <w:szCs w:val="36"/>
        </w:rPr>
      </w:pPr>
      <w:r>
        <w:rPr>
          <w:rFonts w:hint="eastAsia" w:ascii="宋体" w:hAnsi="宋体" w:eastAsia="宋体" w:cs="宋体"/>
          <w:b/>
          <w:bCs/>
          <w:color w:val="000000"/>
          <w:kern w:val="0"/>
          <w:sz w:val="36"/>
          <w:szCs w:val="36"/>
        </w:rPr>
        <w:t>第四部分  名词解释</w:t>
      </w:r>
    </w:p>
    <w:p>
      <w:pPr>
        <w:tabs>
          <w:tab w:val="left" w:pos="1005"/>
          <w:tab w:val="left" w:pos="2010"/>
          <w:tab w:val="left" w:pos="3015"/>
          <w:tab w:val="left" w:pos="4020"/>
          <w:tab w:val="left" w:pos="5025"/>
          <w:tab w:val="left" w:pos="6030"/>
          <w:tab w:val="left" w:pos="7035"/>
          <w:tab w:val="left" w:pos="8040"/>
        </w:tabs>
        <w:rPr>
          <w:rFonts w:ascii="Arial" w:hAnsi="Arial" w:cs="Arial"/>
          <w:color w:val="000000"/>
          <w:sz w:val="32"/>
          <w:szCs w:val="32"/>
        </w:rPr>
      </w:pPr>
      <w:r>
        <w:rPr>
          <w:rFonts w:hint="eastAsia" w:ascii="仿宋" w:hAnsi="仿宋" w:eastAsia="仿宋" w:cs="仿宋"/>
          <w:color w:val="000000"/>
          <w:kern w:val="0"/>
          <w:sz w:val="32"/>
          <w:szCs w:val="32"/>
        </w:rPr>
        <w:t xml:space="preserve"> </w:t>
      </w:r>
      <w:r>
        <w:rPr>
          <w:rFonts w:hint="eastAsia" w:ascii="仿宋" w:hAnsi="仿宋" w:eastAsia="仿宋" w:cs="仿宋"/>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r>
        <w:rPr>
          <w:rFonts w:ascii="Arial" w:hAnsi="Arial" w:cs="Arial"/>
          <w:color w:val="000000"/>
          <w:sz w:val="32"/>
          <w:szCs w:val="32"/>
        </w:rPr>
        <w:tab/>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（一）</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财政拨款：指区级财政当年拨付的资金。</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（二）</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事业收入：指事业单位开展专业业务活动及辅助活动取得的收入。</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（三）</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行政运行：反映行政单位（包括参公单位）的基本支出。</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（四）</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一般行政管理事务：反映行政单位（包括参公单位）未单独设置项级科目的其他项目支出。</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（五）</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机关服务：反映为行政单位（包括参公单位）提供后勤服务的各类后勤服务中心的支出。</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（六）</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信息化建设：反映财政部门用于“金财工程”等信息化建设方面的支出。</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（七）</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事业运行：反映事业单位的基本支出。</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（八）</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购房补贴：反映按房改政策规定，行政事业单位向符合条件职工发放的用于购买住房的补贴。</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（九）</w:t>
      </w:r>
      <w:r>
        <w:rPr>
          <w:rFonts w:ascii="Arial" w:hAnsi="Arial" w:eastAsia="仿宋" w:cs="Arial"/>
          <w:color w:val="000000"/>
          <w:kern w:val="0"/>
          <w:sz w:val="32"/>
          <w:szCs w:val="32"/>
        </w:rPr>
        <w:t xml:space="preserve"> </w:t>
      </w:r>
      <w:r>
        <w:rPr>
          <w:rFonts w:hint="eastAsia" w:ascii="仿宋" w:hAnsi="仿宋" w:eastAsia="仿宋" w:cs="仿宋"/>
          <w:color w:val="000000"/>
          <w:kern w:val="0"/>
          <w:sz w:val="32"/>
          <w:szCs w:val="32"/>
        </w:rPr>
        <w:t>“三公经费”：反映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安全奖励费用等支出；公务接待费反映单位按规定开支的各类公务接待（含外宾接待）支出。</w:t>
      </w:r>
    </w:p>
    <w:p>
      <w:pPr>
        <w:widowControl/>
        <w:textAlignment w:val="bottom"/>
        <w:rPr>
          <w:rFonts w:ascii="仿宋" w:hAnsi="仿宋" w:eastAsia="仿宋" w:cs="仿宋"/>
          <w:color w:val="000000"/>
          <w:sz w:val="32"/>
          <w:szCs w:val="32"/>
        </w:rPr>
      </w:pPr>
      <w:r>
        <w:rPr>
          <w:rFonts w:hint="eastAsia" w:ascii="仿宋" w:hAnsi="仿宋" w:eastAsia="仿宋" w:cs="仿宋"/>
          <w:color w:val="000000"/>
          <w:kern w:val="0"/>
          <w:sz w:val="32"/>
          <w:szCs w:val="32"/>
        </w:rPr>
        <w:t>（十） 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及其他费用。</w:t>
      </w: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DB7293"/>
    <w:multiLevelType w:val="singleLevel"/>
    <w:tmpl w:val="BFDB7293"/>
    <w:lvl w:ilvl="0" w:tentative="0">
      <w:start w:val="8"/>
      <w:numFmt w:val="chineseCounting"/>
      <w:suff w:val="nothing"/>
      <w:lvlText w:val="%1、"/>
      <w:lvlJc w:val="left"/>
      <w:pPr>
        <w:ind w:left="320" w:firstLine="0"/>
      </w:pPr>
      <w:rPr>
        <w:rFonts w:hint="eastAsia"/>
      </w:rPr>
    </w:lvl>
  </w:abstractNum>
  <w:abstractNum w:abstractNumId="1">
    <w:nsid w:val="15058CB5"/>
    <w:multiLevelType w:val="singleLevel"/>
    <w:tmpl w:val="15058CB5"/>
    <w:lvl w:ilvl="0" w:tentative="0">
      <w:start w:val="8"/>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NGQwNDExMGRlYzliNmE4MjkwZTdlMDQ5YjkzYTA3M2QifQ=="/>
  </w:docVars>
  <w:rsids>
    <w:rsidRoot w:val="00172A27"/>
    <w:rsid w:val="000053FE"/>
    <w:rsid w:val="00040F7B"/>
    <w:rsid w:val="000C37CC"/>
    <w:rsid w:val="000F0230"/>
    <w:rsid w:val="00112369"/>
    <w:rsid w:val="00140DED"/>
    <w:rsid w:val="00172A27"/>
    <w:rsid w:val="001A5FD3"/>
    <w:rsid w:val="001C68E2"/>
    <w:rsid w:val="00254426"/>
    <w:rsid w:val="00281B5C"/>
    <w:rsid w:val="002E0123"/>
    <w:rsid w:val="002F12B2"/>
    <w:rsid w:val="003777A8"/>
    <w:rsid w:val="003B3754"/>
    <w:rsid w:val="003D2A16"/>
    <w:rsid w:val="00451BE6"/>
    <w:rsid w:val="00557C9D"/>
    <w:rsid w:val="006051A8"/>
    <w:rsid w:val="00652CD3"/>
    <w:rsid w:val="006C6C1A"/>
    <w:rsid w:val="00717636"/>
    <w:rsid w:val="007706FF"/>
    <w:rsid w:val="00803E9E"/>
    <w:rsid w:val="008068B2"/>
    <w:rsid w:val="008F0119"/>
    <w:rsid w:val="009C0077"/>
    <w:rsid w:val="00A55205"/>
    <w:rsid w:val="00A80FA6"/>
    <w:rsid w:val="00B22150"/>
    <w:rsid w:val="00B401CE"/>
    <w:rsid w:val="00C44614"/>
    <w:rsid w:val="00C67505"/>
    <w:rsid w:val="00DF31DE"/>
    <w:rsid w:val="00E34AEB"/>
    <w:rsid w:val="00E41E72"/>
    <w:rsid w:val="00FB2360"/>
    <w:rsid w:val="09293E97"/>
    <w:rsid w:val="0D712B74"/>
    <w:rsid w:val="0E307E47"/>
    <w:rsid w:val="0ED9593E"/>
    <w:rsid w:val="15E044B0"/>
    <w:rsid w:val="17F528DA"/>
    <w:rsid w:val="1E7259BD"/>
    <w:rsid w:val="1FF01E2D"/>
    <w:rsid w:val="213D3143"/>
    <w:rsid w:val="26744773"/>
    <w:rsid w:val="26AD240F"/>
    <w:rsid w:val="27247C71"/>
    <w:rsid w:val="273D214C"/>
    <w:rsid w:val="2C2138B0"/>
    <w:rsid w:val="2D5A3A43"/>
    <w:rsid w:val="32853B09"/>
    <w:rsid w:val="36340EF2"/>
    <w:rsid w:val="3CAF49C3"/>
    <w:rsid w:val="3DAA12A1"/>
    <w:rsid w:val="3F154558"/>
    <w:rsid w:val="415E40A8"/>
    <w:rsid w:val="44C6176D"/>
    <w:rsid w:val="455B3D50"/>
    <w:rsid w:val="485E7B61"/>
    <w:rsid w:val="4D447857"/>
    <w:rsid w:val="4D7B1335"/>
    <w:rsid w:val="51CA16B9"/>
    <w:rsid w:val="51D92FBB"/>
    <w:rsid w:val="52C9543F"/>
    <w:rsid w:val="55440F23"/>
    <w:rsid w:val="56C06EEE"/>
    <w:rsid w:val="5B962A36"/>
    <w:rsid w:val="5C0260BD"/>
    <w:rsid w:val="5C2A0156"/>
    <w:rsid w:val="61FC1D50"/>
    <w:rsid w:val="667073B9"/>
    <w:rsid w:val="67743492"/>
    <w:rsid w:val="6B48013F"/>
    <w:rsid w:val="6E3B12D1"/>
    <w:rsid w:val="76986CFB"/>
    <w:rsid w:val="7B983D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0"/>
    <w:pPr>
      <w:widowControl/>
      <w:spacing w:line="408" w:lineRule="auto"/>
      <w:outlineLvl w:val="1"/>
    </w:pPr>
    <w:rPr>
      <w:rFonts w:ascii="Arial" w:hAnsi="Arial" w:cs="Arial"/>
      <w:b/>
      <w:bCs/>
      <w:kern w:val="0"/>
      <w:sz w:val="32"/>
      <w:szCs w:val="32"/>
    </w:rPr>
  </w:style>
  <w:style w:type="paragraph" w:styleId="3">
    <w:name w:val="heading 3"/>
    <w:basedOn w:val="1"/>
    <w:next w:val="1"/>
    <w:qFormat/>
    <w:uiPriority w:val="0"/>
    <w:pPr>
      <w:keepNext/>
      <w:keepLines/>
      <w:spacing w:line="413" w:lineRule="auto"/>
      <w:ind w:left="300" w:leftChars="300"/>
      <w:outlineLvl w:val="2"/>
    </w:pPr>
    <w:rPr>
      <w:b/>
      <w:sz w:val="28"/>
    </w:rPr>
  </w:style>
  <w:style w:type="character" w:default="1" w:styleId="9">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ody Text"/>
    <w:basedOn w:val="1"/>
    <w:unhideWhenUsed/>
    <w:qFormat/>
    <w:uiPriority w:val="99"/>
  </w:style>
  <w:style w:type="paragraph" w:styleId="5">
    <w:name w:val="Balloon Text"/>
    <w:basedOn w:val="1"/>
    <w:link w:val="15"/>
    <w:qFormat/>
    <w:uiPriority w:val="0"/>
    <w:rPr>
      <w:sz w:val="18"/>
      <w:szCs w:val="18"/>
    </w:rPr>
  </w:style>
  <w:style w:type="paragraph" w:styleId="6">
    <w:name w:val="footer"/>
    <w:basedOn w:val="1"/>
    <w:link w:val="14"/>
    <w:qFormat/>
    <w:uiPriority w:val="0"/>
    <w:pPr>
      <w:tabs>
        <w:tab w:val="center" w:pos="4153"/>
        <w:tab w:val="right" w:pos="8306"/>
      </w:tabs>
      <w:snapToGrid w:val="0"/>
      <w:jc w:val="left"/>
    </w:pPr>
    <w:rPr>
      <w:sz w:val="18"/>
      <w:szCs w:val="18"/>
    </w:rPr>
  </w:style>
  <w:style w:type="paragraph" w:styleId="7">
    <w:name w:val="header"/>
    <w:basedOn w:val="1"/>
    <w:link w:val="13"/>
    <w:qFormat/>
    <w:uiPriority w:val="0"/>
    <w:pPr>
      <w:pBdr>
        <w:bottom w:val="single" w:color="auto" w:sz="6" w:space="1"/>
      </w:pBdr>
      <w:tabs>
        <w:tab w:val="center" w:pos="4153"/>
        <w:tab w:val="right" w:pos="8306"/>
      </w:tabs>
      <w:snapToGrid w:val="0"/>
      <w:jc w:val="center"/>
    </w:pPr>
    <w:rPr>
      <w:sz w:val="18"/>
      <w:szCs w:val="18"/>
    </w:rPr>
  </w:style>
  <w:style w:type="character" w:customStyle="1" w:styleId="10">
    <w:name w:val="font171"/>
    <w:basedOn w:val="9"/>
    <w:qFormat/>
    <w:uiPriority w:val="0"/>
    <w:rPr>
      <w:rFonts w:hint="eastAsia" w:ascii="仿宋" w:hAnsi="仿宋" w:eastAsia="仿宋" w:cs="仿宋"/>
      <w:color w:val="000000"/>
      <w:sz w:val="32"/>
      <w:szCs w:val="32"/>
      <w:u w:val="none"/>
    </w:rPr>
  </w:style>
  <w:style w:type="character" w:customStyle="1" w:styleId="11">
    <w:name w:val="font101"/>
    <w:basedOn w:val="9"/>
    <w:qFormat/>
    <w:uiPriority w:val="0"/>
    <w:rPr>
      <w:rFonts w:hint="default" w:ascii="Arial" w:hAnsi="Arial" w:cs="Arial"/>
      <w:color w:val="000000"/>
      <w:sz w:val="32"/>
      <w:szCs w:val="32"/>
      <w:u w:val="none"/>
    </w:rPr>
  </w:style>
  <w:style w:type="character" w:customStyle="1" w:styleId="12">
    <w:name w:val="font81"/>
    <w:basedOn w:val="9"/>
    <w:qFormat/>
    <w:uiPriority w:val="0"/>
    <w:rPr>
      <w:rFonts w:hint="eastAsia" w:ascii="仿宋" w:hAnsi="仿宋" w:eastAsia="仿宋" w:cs="仿宋"/>
      <w:color w:val="000000"/>
      <w:sz w:val="32"/>
      <w:szCs w:val="32"/>
      <w:u w:val="none"/>
    </w:rPr>
  </w:style>
  <w:style w:type="character" w:customStyle="1" w:styleId="13">
    <w:name w:val="页眉 Char"/>
    <w:basedOn w:val="9"/>
    <w:link w:val="7"/>
    <w:qFormat/>
    <w:uiPriority w:val="0"/>
    <w:rPr>
      <w:rFonts w:asciiTheme="minorHAnsi" w:hAnsiTheme="minorHAnsi" w:eastAsiaTheme="minorEastAsia" w:cstheme="minorBidi"/>
      <w:kern w:val="2"/>
      <w:sz w:val="18"/>
      <w:szCs w:val="18"/>
    </w:rPr>
  </w:style>
  <w:style w:type="character" w:customStyle="1" w:styleId="14">
    <w:name w:val="页脚 Char"/>
    <w:basedOn w:val="9"/>
    <w:link w:val="6"/>
    <w:qFormat/>
    <w:uiPriority w:val="0"/>
    <w:rPr>
      <w:rFonts w:asciiTheme="minorHAnsi" w:hAnsiTheme="minorHAnsi" w:eastAsiaTheme="minorEastAsia" w:cstheme="minorBidi"/>
      <w:kern w:val="2"/>
      <w:sz w:val="18"/>
      <w:szCs w:val="18"/>
    </w:rPr>
  </w:style>
  <w:style w:type="character" w:customStyle="1" w:styleId="15">
    <w:name w:val="批注框文本 Char"/>
    <w:basedOn w:val="9"/>
    <w:link w:val="5"/>
    <w:qFormat/>
    <w:uiPriority w:val="0"/>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6725</Words>
  <Characters>7255</Characters>
  <Lines>56</Lines>
  <Paragraphs>16</Paragraphs>
  <TotalTime>88</TotalTime>
  <ScaleCrop>false</ScaleCrop>
  <LinksUpToDate>false</LinksUpToDate>
  <CharactersWithSpaces>7655</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2021-05-31T03:03:00Z</dcterms:created>
  <dc:creator>mees</dc:creator>
  <cp:lastModifiedBy>Deity</cp:lastModifiedBy>
  <cp:lastPrinted>2021-08-19T07:08:00Z</cp:lastPrinted>
  <dcterms:modified xsi:type="dcterms:W3CDTF">2022-05-13T06:16:57Z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A7DE884453A3461DB4B4CA3CEDAFCE22</vt:lpwstr>
  </property>
</Properties>
</file>