
<file path=[Content_Types].xml><?xml version="1.0" encoding="utf-8"?>
<Types xmlns="http://schemas.openxmlformats.org/package/2006/content-types">
  <Default Extension="xlsx" ContentType="application/vnd.openxmlformats-officedocument.spreadsheetml.shee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40" w:lineRule="exact"/>
        <w:jc w:val="center"/>
        <w:rPr>
          <w:rFonts w:ascii="黑体" w:hAnsi="黑体" w:eastAsia="黑体"/>
          <w:b/>
          <w:sz w:val="36"/>
          <w:szCs w:val="36"/>
        </w:rPr>
      </w:pPr>
      <w:r>
        <w:rPr>
          <w:rFonts w:hint="eastAsia" w:ascii="黑体" w:hAnsi="黑体" w:eastAsia="黑体"/>
          <w:b/>
          <w:sz w:val="36"/>
          <w:szCs w:val="36"/>
        </w:rPr>
        <w:t>南昌市西湖区环卫清运公司</w:t>
      </w:r>
    </w:p>
    <w:p>
      <w:pPr>
        <w:pStyle w:val="7"/>
        <w:spacing w:line="540" w:lineRule="exact"/>
        <w:jc w:val="center"/>
        <w:outlineLvl w:val="0"/>
        <w:rPr>
          <w:b/>
          <w:sz w:val="32"/>
          <w:szCs w:val="32"/>
        </w:rPr>
      </w:pPr>
      <w:r>
        <w:rPr>
          <w:rFonts w:ascii="黑体" w:eastAsia="黑体"/>
          <w:b/>
          <w:sz w:val="36"/>
          <w:szCs w:val="36"/>
        </w:rPr>
        <w:t>2020</w:t>
      </w:r>
      <w:r>
        <w:rPr>
          <w:rFonts w:hint="eastAsia" w:ascii="黑体" w:eastAsia="黑体"/>
          <w:b/>
          <w:sz w:val="36"/>
          <w:szCs w:val="36"/>
        </w:rPr>
        <w:t>年部门决算</w:t>
      </w:r>
    </w:p>
    <w:p>
      <w:pPr>
        <w:spacing w:line="520" w:lineRule="exact"/>
        <w:jc w:val="center"/>
        <w:rPr>
          <w:rFonts w:ascii="仿宋_GB2312" w:hAnsi="Times New Roman" w:eastAsia="仿宋_GB2312"/>
          <w:b/>
          <w:sz w:val="32"/>
          <w:szCs w:val="32"/>
        </w:rPr>
      </w:pPr>
      <w:r>
        <w:rPr>
          <w:rFonts w:hint="eastAsia" w:ascii="仿宋_GB2312" w:hAnsi="Times New Roman" w:eastAsia="仿宋_GB2312"/>
          <w:b/>
          <w:sz w:val="32"/>
          <w:szCs w:val="32"/>
        </w:rPr>
        <w:t>目录</w:t>
      </w:r>
    </w:p>
    <w:p>
      <w:pPr>
        <w:spacing w:line="520" w:lineRule="exact"/>
        <w:ind w:firstLine="640" w:firstLineChars="200"/>
        <w:rPr>
          <w:rFonts w:ascii="仿宋_GB2312" w:eastAsia="仿宋_GB2312"/>
          <w:bCs/>
          <w:sz w:val="32"/>
          <w:szCs w:val="32"/>
        </w:rPr>
      </w:pPr>
    </w:p>
    <w:p>
      <w:pPr>
        <w:spacing w:line="520" w:lineRule="exact"/>
        <w:rPr>
          <w:rFonts w:ascii="仿宋_GB2312" w:hAnsi="Times New Roman" w:eastAsia="仿宋_GB2312"/>
          <w:bCs/>
          <w:sz w:val="32"/>
          <w:szCs w:val="32"/>
        </w:rPr>
      </w:pPr>
      <w:r>
        <w:rPr>
          <w:rFonts w:hint="eastAsia" w:ascii="仿宋_GB2312" w:hAnsi="Times New Roman" w:eastAsia="仿宋_GB2312"/>
          <w:b/>
          <w:sz w:val="32"/>
          <w:szCs w:val="32"/>
        </w:rPr>
        <w:t>第一部分南昌市西湖区环卫清运公司</w:t>
      </w:r>
      <w:r>
        <w:rPr>
          <w:rFonts w:hint="eastAsia" w:ascii="仿宋_GB2312" w:hAnsi="Times New Roman" w:eastAsia="仿宋_GB2312"/>
          <w:bCs/>
          <w:sz w:val="32"/>
          <w:szCs w:val="32"/>
        </w:rPr>
        <w:t>概况</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一、部门主要职责</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二、部门</w:t>
      </w:r>
      <w:r>
        <w:rPr>
          <w:rFonts w:ascii="仿宋_GB2312" w:hAnsi="Times New Roman" w:eastAsia="仿宋_GB2312"/>
          <w:b/>
          <w:sz w:val="32"/>
          <w:szCs w:val="32"/>
        </w:rPr>
        <w:t>2020</w:t>
      </w:r>
      <w:r>
        <w:rPr>
          <w:rFonts w:hint="eastAsia" w:ascii="仿宋_GB2312" w:hAnsi="Times New Roman" w:eastAsia="仿宋_GB2312"/>
          <w:b/>
          <w:sz w:val="32"/>
          <w:szCs w:val="32"/>
        </w:rPr>
        <w:t>年主要工作任务</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三、部门基本情况</w:t>
      </w:r>
    </w:p>
    <w:p>
      <w:pPr>
        <w:spacing w:line="520" w:lineRule="exact"/>
        <w:rPr>
          <w:rFonts w:ascii="仿宋_GB2312" w:hAnsi="Times New Roman" w:eastAsia="仿宋_GB2312"/>
          <w:b/>
          <w:sz w:val="32"/>
          <w:szCs w:val="32"/>
        </w:rPr>
      </w:pPr>
      <w:r>
        <w:rPr>
          <w:rFonts w:hint="eastAsia" w:ascii="仿宋_GB2312" w:hAnsi="Times New Roman" w:eastAsia="仿宋_GB2312"/>
          <w:b/>
          <w:sz w:val="32"/>
          <w:szCs w:val="32"/>
        </w:rPr>
        <w:t>第二部分南昌市西湖区环卫清运公司</w:t>
      </w:r>
      <w:r>
        <w:rPr>
          <w:rFonts w:ascii="仿宋_GB2312" w:hAnsi="Times New Roman" w:eastAsia="仿宋_GB2312"/>
          <w:b/>
          <w:sz w:val="32"/>
          <w:szCs w:val="32"/>
        </w:rPr>
        <w:t>2020</w:t>
      </w:r>
      <w:r>
        <w:rPr>
          <w:rFonts w:hint="eastAsia" w:ascii="仿宋_GB2312" w:hAnsi="Times New Roman" w:eastAsia="仿宋_GB2312"/>
          <w:b/>
          <w:sz w:val="32"/>
          <w:szCs w:val="32"/>
        </w:rPr>
        <w:t>年部门决算表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一、收支决算总表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二、收入决算总表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三、支出决算表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四、财政拨款收支决算总表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五、一般公共预算财政拨款支出决算表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六、一般公共预算财政拨款基本支出决算表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七、“三公”经费支出决算表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八、政府性基金预算财政拨款支出决算表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九、国有资本经营预算财政拨款支出决算表</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十、国有资产占有情况表</w:t>
      </w:r>
    </w:p>
    <w:p>
      <w:pPr>
        <w:spacing w:line="520" w:lineRule="exact"/>
        <w:rPr>
          <w:rFonts w:ascii="仿宋_GB2312" w:hAnsi="Times New Roman" w:eastAsia="仿宋_GB2312"/>
          <w:b/>
          <w:sz w:val="32"/>
          <w:szCs w:val="32"/>
        </w:rPr>
      </w:pPr>
      <w:r>
        <w:rPr>
          <w:rFonts w:hint="eastAsia" w:ascii="仿宋_GB2312" w:hAnsi="Times New Roman" w:eastAsia="仿宋_GB2312"/>
          <w:b/>
          <w:sz w:val="32"/>
          <w:szCs w:val="32"/>
        </w:rPr>
        <w:t>第三部分南昌市西湖区环卫清运公司</w:t>
      </w:r>
      <w:r>
        <w:rPr>
          <w:rFonts w:ascii="仿宋_GB2312" w:hAnsi="Times New Roman" w:eastAsia="仿宋_GB2312"/>
          <w:b/>
          <w:sz w:val="32"/>
          <w:szCs w:val="32"/>
        </w:rPr>
        <w:t>2020</w:t>
      </w:r>
      <w:r>
        <w:rPr>
          <w:rFonts w:hint="eastAsia" w:ascii="仿宋_GB2312" w:hAnsi="Times New Roman" w:eastAsia="仿宋_GB2312"/>
          <w:b/>
          <w:sz w:val="32"/>
          <w:szCs w:val="32"/>
        </w:rPr>
        <w:t>年部门决算情况说明</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一、收入决算情况</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二、支出决算情况</w:t>
      </w:r>
    </w:p>
    <w:p>
      <w:pPr>
        <w:spacing w:line="5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三、财政拨款支出决算情况</w:t>
      </w:r>
    </w:p>
    <w:p>
      <w:pPr>
        <w:spacing w:line="520" w:lineRule="exact"/>
        <w:ind w:firstLine="643" w:firstLineChars="200"/>
        <w:rPr>
          <w:rFonts w:ascii="仿宋_GB2312" w:hAnsi="Times New Roman" w:eastAsia="仿宋_GB2312"/>
          <w:b/>
          <w:sz w:val="32"/>
          <w:szCs w:val="32"/>
        </w:rPr>
      </w:pPr>
      <w:r>
        <w:rPr>
          <w:rFonts w:hint="eastAsia" w:ascii="仿宋_GB2312" w:eastAsia="仿宋_GB2312"/>
          <w:b/>
          <w:sz w:val="32"/>
          <w:szCs w:val="32"/>
        </w:rPr>
        <w:t>四、</w:t>
      </w:r>
      <w:r>
        <w:rPr>
          <w:rFonts w:hint="eastAsia" w:ascii="仿宋_GB2312" w:hAnsi="Times New Roman" w:eastAsia="仿宋_GB2312"/>
          <w:b/>
          <w:sz w:val="32"/>
          <w:szCs w:val="32"/>
        </w:rPr>
        <w:t>一般公共预算财政拨款支出决算情况</w:t>
      </w:r>
    </w:p>
    <w:p>
      <w:pPr>
        <w:spacing w:line="54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五、</w:t>
      </w:r>
      <w:r>
        <w:rPr>
          <w:rFonts w:hint="eastAsia" w:ascii="仿宋_GB2312" w:eastAsia="仿宋_GB2312"/>
          <w:b/>
          <w:sz w:val="32"/>
          <w:szCs w:val="32"/>
        </w:rPr>
        <w:t>一般公共预算财政拨款“三公”经费支出决算情况</w:t>
      </w:r>
    </w:p>
    <w:p>
      <w:pPr>
        <w:spacing w:line="520" w:lineRule="exact"/>
        <w:ind w:firstLine="643" w:firstLineChars="200"/>
        <w:rPr>
          <w:rFonts w:ascii="仿宋_GB2312" w:hAnsi="Times New Roman" w:eastAsia="仿宋_GB2312"/>
          <w:b/>
          <w:sz w:val="32"/>
          <w:szCs w:val="32"/>
        </w:rPr>
      </w:pPr>
      <w:r>
        <w:rPr>
          <w:rFonts w:hint="eastAsia" w:ascii="仿宋_GB2312" w:eastAsia="仿宋_GB2312"/>
          <w:b/>
          <w:sz w:val="32"/>
          <w:szCs w:val="32"/>
        </w:rPr>
        <w:t>六、</w:t>
      </w:r>
      <w:r>
        <w:rPr>
          <w:rFonts w:hint="eastAsia" w:ascii="仿宋_GB2312" w:hAnsi="Times New Roman" w:eastAsia="仿宋_GB2312"/>
          <w:b/>
          <w:sz w:val="32"/>
          <w:szCs w:val="32"/>
        </w:rPr>
        <w:t>机关运行经费支出情况说明</w:t>
      </w:r>
    </w:p>
    <w:p>
      <w:pPr>
        <w:spacing w:line="520" w:lineRule="exact"/>
        <w:ind w:firstLine="643" w:firstLineChars="200"/>
        <w:rPr>
          <w:rFonts w:ascii="仿宋_GB2312" w:hAnsi="Times New Roman" w:eastAsia="仿宋_GB2312"/>
          <w:b/>
          <w:sz w:val="32"/>
          <w:szCs w:val="32"/>
        </w:rPr>
      </w:pPr>
      <w:r>
        <w:rPr>
          <w:rFonts w:hint="eastAsia" w:ascii="仿宋_GB2312" w:eastAsia="仿宋_GB2312"/>
          <w:b/>
          <w:sz w:val="32"/>
          <w:szCs w:val="32"/>
        </w:rPr>
        <w:t>七、</w:t>
      </w:r>
      <w:r>
        <w:rPr>
          <w:rFonts w:hint="eastAsia" w:ascii="仿宋_GB2312" w:hAnsi="Times New Roman" w:eastAsia="仿宋_GB2312"/>
          <w:b/>
          <w:sz w:val="32"/>
          <w:szCs w:val="32"/>
        </w:rPr>
        <w:t>政府采购预算说明</w:t>
      </w:r>
    </w:p>
    <w:p>
      <w:pPr>
        <w:spacing w:line="520" w:lineRule="exact"/>
        <w:ind w:firstLine="643" w:firstLineChars="200"/>
        <w:rPr>
          <w:rFonts w:ascii="仿宋_GB2312" w:hAnsi="Times New Roman" w:eastAsia="仿宋_GB2312"/>
          <w:b/>
          <w:sz w:val="32"/>
          <w:szCs w:val="32"/>
        </w:rPr>
      </w:pPr>
      <w:r>
        <w:rPr>
          <w:rFonts w:hint="eastAsia" w:ascii="仿宋_GB2312" w:eastAsia="仿宋_GB2312"/>
          <w:b/>
          <w:sz w:val="32"/>
          <w:szCs w:val="32"/>
        </w:rPr>
        <w:t>八、</w:t>
      </w:r>
      <w:r>
        <w:rPr>
          <w:rFonts w:hint="eastAsia" w:ascii="仿宋_GB2312" w:hAnsi="Times New Roman" w:eastAsia="仿宋_GB2312"/>
          <w:b/>
          <w:sz w:val="32"/>
          <w:szCs w:val="32"/>
        </w:rPr>
        <w:t>国有资产占有使用情况</w:t>
      </w:r>
    </w:p>
    <w:p>
      <w:pPr>
        <w:spacing w:line="520" w:lineRule="exact"/>
        <w:ind w:firstLine="643" w:firstLineChars="200"/>
        <w:rPr>
          <w:rFonts w:ascii="仿宋_GB2312" w:hAnsi="Times New Roman" w:eastAsia="仿宋_GB2312"/>
          <w:b/>
          <w:sz w:val="32"/>
          <w:szCs w:val="32"/>
        </w:rPr>
      </w:pPr>
      <w:r>
        <w:rPr>
          <w:rFonts w:hint="eastAsia" w:ascii="仿宋_GB2312" w:eastAsia="仿宋_GB2312"/>
          <w:b/>
          <w:sz w:val="32"/>
          <w:szCs w:val="32"/>
        </w:rPr>
        <w:t>九、</w:t>
      </w:r>
      <w:r>
        <w:rPr>
          <w:rFonts w:hint="eastAsia" w:ascii="仿宋_GB2312" w:hAnsi="Times New Roman" w:eastAsia="仿宋_GB2312"/>
          <w:b/>
          <w:sz w:val="32"/>
          <w:szCs w:val="32"/>
        </w:rPr>
        <w:t>预算绩效情况说明</w:t>
      </w:r>
    </w:p>
    <w:p>
      <w:pPr>
        <w:spacing w:line="520" w:lineRule="exact"/>
        <w:rPr>
          <w:rFonts w:ascii="仿宋_GB2312" w:hAnsi="Times New Roman" w:eastAsia="仿宋_GB2312"/>
          <w:b/>
          <w:sz w:val="32"/>
          <w:szCs w:val="32"/>
        </w:rPr>
      </w:pPr>
      <w:r>
        <w:rPr>
          <w:rFonts w:hint="eastAsia" w:ascii="仿宋_GB2312" w:hAnsi="Times New Roman" w:eastAsia="仿宋_GB2312"/>
          <w:b/>
          <w:sz w:val="32"/>
          <w:szCs w:val="32"/>
        </w:rPr>
        <w:t>第四部分名词解释</w:t>
      </w:r>
    </w:p>
    <w:p>
      <w:pPr>
        <w:spacing w:line="520" w:lineRule="exact"/>
        <w:rPr>
          <w:rFonts w:ascii="仿宋_GB2312" w:eastAsia="仿宋_GB2312"/>
          <w:b/>
          <w:sz w:val="32"/>
          <w:szCs w:val="32"/>
        </w:rPr>
      </w:pPr>
    </w:p>
    <w:p>
      <w:pPr>
        <w:spacing w:line="520" w:lineRule="exact"/>
        <w:rPr>
          <w:rFonts w:ascii="仿宋_GB2312" w:eastAsia="仿宋_GB2312"/>
          <w:b/>
          <w:sz w:val="32"/>
          <w:szCs w:val="32"/>
        </w:rPr>
      </w:pPr>
      <w:r>
        <w:rPr>
          <w:rFonts w:hint="eastAsia" w:ascii="仿宋_GB2312" w:hAnsi="Times New Roman" w:eastAsia="仿宋_GB2312"/>
          <w:b/>
          <w:sz w:val="32"/>
          <w:szCs w:val="32"/>
        </w:rPr>
        <w:t>第一部分</w:t>
      </w:r>
      <w:r>
        <w:rPr>
          <w:rFonts w:hint="eastAsia" w:ascii="仿宋_GB2312" w:eastAsia="仿宋_GB2312"/>
          <w:b/>
          <w:sz w:val="32"/>
          <w:szCs w:val="32"/>
        </w:rPr>
        <w:t>南昌市西湖区环卫清运公司概况</w:t>
      </w:r>
    </w:p>
    <w:p>
      <w:pPr>
        <w:numPr>
          <w:ilvl w:val="0"/>
          <w:numId w:val="1"/>
        </w:numPr>
        <w:spacing w:line="600" w:lineRule="exact"/>
        <w:ind w:firstLine="643" w:firstLineChars="200"/>
        <w:rPr>
          <w:rFonts w:ascii="仿宋_GB2312" w:eastAsia="仿宋_GB2312"/>
          <w:b/>
          <w:sz w:val="32"/>
          <w:szCs w:val="32"/>
        </w:rPr>
      </w:pPr>
      <w:r>
        <w:rPr>
          <w:rFonts w:hint="eastAsia" w:ascii="仿宋_GB2312" w:eastAsia="仿宋_GB2312"/>
          <w:b/>
          <w:sz w:val="32"/>
          <w:szCs w:val="32"/>
        </w:rPr>
        <w:t>部门主要职责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西湖区环卫清运公司是主管市容环卫工作的区政府（区委）组成部门西湖区城市管理局下属机构，主要职责是：维护城市市容环境卫生管理，城市环境卫生设施运营与维护，环境卫生作业管理，交通工具密闭运输与外观清洁管理。</w:t>
      </w:r>
    </w:p>
    <w:p>
      <w:pPr>
        <w:spacing w:line="520" w:lineRule="exact"/>
        <w:ind w:left="479" w:leftChars="228" w:firstLine="161" w:firstLineChars="50"/>
        <w:rPr>
          <w:rFonts w:ascii="仿宋" w:hAnsi="仿宋" w:eastAsia="仿宋"/>
          <w:b/>
          <w:bCs/>
          <w:color w:val="000000"/>
          <w:sz w:val="32"/>
          <w:szCs w:val="32"/>
        </w:rPr>
      </w:pPr>
      <w:r>
        <w:rPr>
          <w:rFonts w:hint="eastAsia" w:ascii="仿宋" w:hAnsi="仿宋" w:eastAsia="仿宋"/>
          <w:b/>
          <w:bCs/>
          <w:color w:val="000000"/>
          <w:sz w:val="32"/>
          <w:szCs w:val="32"/>
        </w:rPr>
        <w:t>二、部门</w:t>
      </w:r>
      <w:r>
        <w:rPr>
          <w:rFonts w:ascii="仿宋" w:hAnsi="仿宋" w:eastAsia="仿宋"/>
          <w:b/>
          <w:bCs/>
          <w:color w:val="000000"/>
          <w:sz w:val="32"/>
          <w:szCs w:val="32"/>
        </w:rPr>
        <w:t>2020</w:t>
      </w:r>
      <w:r>
        <w:rPr>
          <w:rFonts w:hint="eastAsia" w:ascii="仿宋" w:hAnsi="仿宋" w:eastAsia="仿宋"/>
          <w:b/>
          <w:bCs/>
          <w:color w:val="000000"/>
          <w:sz w:val="32"/>
          <w:szCs w:val="32"/>
        </w:rPr>
        <w:t>年主要工作任务</w:t>
      </w:r>
    </w:p>
    <w:p>
      <w:pPr>
        <w:spacing w:line="520" w:lineRule="exact"/>
        <w:ind w:left="479" w:leftChars="228" w:firstLine="480" w:firstLineChars="150"/>
        <w:rPr>
          <w:rFonts w:ascii="仿宋" w:hAnsi="仿宋" w:eastAsia="仿宋"/>
          <w:color w:val="000000"/>
          <w:sz w:val="32"/>
          <w:szCs w:val="32"/>
        </w:rPr>
      </w:pPr>
      <w:r>
        <w:rPr>
          <w:rFonts w:hint="eastAsia" w:ascii="仿宋_GB2312" w:eastAsia="仿宋_GB2312"/>
          <w:sz w:val="32"/>
          <w:szCs w:val="32"/>
        </w:rPr>
        <w:t>西湖区环卫清运公司</w:t>
      </w:r>
      <w:r>
        <w:rPr>
          <w:rFonts w:ascii="仿宋_GB2312" w:eastAsia="仿宋_GB2312"/>
          <w:sz w:val="32"/>
          <w:szCs w:val="32"/>
        </w:rPr>
        <w:t>2020</w:t>
      </w:r>
      <w:r>
        <w:rPr>
          <w:rFonts w:hint="eastAsia" w:ascii="仿宋_GB2312" w:eastAsia="仿宋_GB2312"/>
          <w:sz w:val="32"/>
          <w:szCs w:val="32"/>
        </w:rPr>
        <w:t>年的主要工作任务是：努力改善西湖区居民生活环境，做到居民生活垃圾日产日清</w:t>
      </w:r>
      <w:r>
        <w:rPr>
          <w:rFonts w:hint="eastAsia" w:ascii="仿宋" w:hAnsi="仿宋" w:eastAsia="仿宋"/>
          <w:color w:val="000000"/>
          <w:sz w:val="32"/>
          <w:szCs w:val="32"/>
        </w:rPr>
        <w:t>。</w:t>
      </w:r>
    </w:p>
    <w:p>
      <w:pPr>
        <w:numPr>
          <w:ilvl w:val="0"/>
          <w:numId w:val="2"/>
        </w:numPr>
        <w:spacing w:line="520" w:lineRule="exact"/>
        <w:ind w:firstLine="643" w:firstLineChars="200"/>
        <w:rPr>
          <w:rFonts w:ascii="仿宋" w:hAnsi="仿宋" w:eastAsia="仿宋"/>
          <w:b/>
          <w:bCs/>
          <w:sz w:val="32"/>
          <w:szCs w:val="32"/>
        </w:rPr>
      </w:pPr>
      <w:r>
        <w:rPr>
          <w:rFonts w:hint="eastAsia" w:ascii="仿宋" w:hAnsi="仿宋" w:eastAsia="仿宋"/>
          <w:b/>
          <w:bCs/>
          <w:sz w:val="32"/>
          <w:szCs w:val="32"/>
        </w:rPr>
        <w:t>部门基本情况</w:t>
      </w:r>
    </w:p>
    <w:p>
      <w:pPr>
        <w:spacing w:line="600" w:lineRule="exact"/>
        <w:ind w:firstLine="800" w:firstLineChars="250"/>
        <w:rPr>
          <w:rFonts w:ascii="仿宋_GB2312" w:eastAsia="仿宋_GB2312"/>
          <w:sz w:val="32"/>
          <w:szCs w:val="32"/>
        </w:rPr>
      </w:pPr>
      <w:r>
        <w:rPr>
          <w:rFonts w:hint="eastAsia" w:ascii="仿宋_GB2312" w:eastAsia="仿宋_GB2312"/>
          <w:sz w:val="32"/>
          <w:szCs w:val="32"/>
        </w:rPr>
        <w:t>西湖区环卫清运公司共有决算单位</w:t>
      </w:r>
      <w:r>
        <w:rPr>
          <w:rFonts w:ascii="仿宋_GB2312" w:eastAsia="仿宋_GB2312"/>
          <w:sz w:val="32"/>
          <w:szCs w:val="32"/>
        </w:rPr>
        <w:t>1</w:t>
      </w:r>
      <w:r>
        <w:rPr>
          <w:rFonts w:hint="eastAsia" w:ascii="仿宋_GB2312" w:eastAsia="仿宋_GB2312"/>
          <w:sz w:val="32"/>
          <w:szCs w:val="32"/>
        </w:rPr>
        <w:t>个，属二级预算单位，全额拨款事业单位</w:t>
      </w:r>
      <w:r>
        <w:rPr>
          <w:rFonts w:ascii="仿宋_GB2312" w:eastAsia="仿宋_GB2312"/>
          <w:sz w:val="32"/>
          <w:szCs w:val="32"/>
        </w:rPr>
        <w:t>1</w:t>
      </w:r>
      <w:r>
        <w:rPr>
          <w:rFonts w:hint="eastAsia" w:ascii="仿宋_GB2312" w:eastAsia="仿宋_GB2312"/>
          <w:sz w:val="32"/>
          <w:szCs w:val="32"/>
        </w:rPr>
        <w:t>个：编制人数</w:t>
      </w:r>
      <w:r>
        <w:rPr>
          <w:rFonts w:ascii="仿宋_GB2312" w:eastAsia="仿宋_GB2312"/>
          <w:sz w:val="32"/>
          <w:szCs w:val="32"/>
        </w:rPr>
        <w:t>43</w:t>
      </w:r>
      <w:r>
        <w:rPr>
          <w:rFonts w:hint="eastAsia" w:ascii="仿宋_GB2312" w:eastAsia="仿宋_GB2312"/>
          <w:sz w:val="32"/>
          <w:szCs w:val="32"/>
        </w:rPr>
        <w:t>人，实有人数</w:t>
      </w:r>
      <w:r>
        <w:rPr>
          <w:rFonts w:ascii="仿宋_GB2312" w:eastAsia="仿宋_GB2312"/>
          <w:sz w:val="32"/>
          <w:szCs w:val="32"/>
        </w:rPr>
        <w:t>34</w:t>
      </w:r>
      <w:r>
        <w:rPr>
          <w:rFonts w:hint="eastAsia" w:ascii="仿宋_GB2312" w:eastAsia="仿宋_GB2312"/>
          <w:sz w:val="32"/>
          <w:szCs w:val="32"/>
        </w:rPr>
        <w:t>人。</w:t>
      </w:r>
    </w:p>
    <w:p>
      <w:pPr>
        <w:spacing w:line="520" w:lineRule="exact"/>
        <w:rPr>
          <w:rFonts w:ascii="仿宋_GB2312" w:hAnsi="Times New Roman" w:eastAsia="仿宋_GB2312"/>
          <w:b/>
          <w:sz w:val="32"/>
          <w:szCs w:val="32"/>
        </w:rPr>
      </w:pPr>
      <w:r>
        <w:rPr>
          <w:rFonts w:hint="eastAsia" w:ascii="仿宋_GB2312" w:hAnsi="Times New Roman" w:eastAsia="仿宋_GB2312"/>
          <w:b/>
          <w:sz w:val="32"/>
          <w:szCs w:val="32"/>
        </w:rPr>
        <w:t>第二部分南昌市西湖区环卫清运公司</w:t>
      </w:r>
      <w:r>
        <w:rPr>
          <w:rFonts w:ascii="仿宋_GB2312" w:hAnsi="Times New Roman" w:eastAsia="仿宋_GB2312"/>
          <w:b/>
          <w:sz w:val="32"/>
          <w:szCs w:val="32"/>
        </w:rPr>
        <w:t>2020</w:t>
      </w:r>
      <w:r>
        <w:rPr>
          <w:rFonts w:hint="eastAsia" w:ascii="仿宋_GB2312" w:hAnsi="Times New Roman" w:eastAsia="仿宋_GB2312"/>
          <w:b/>
          <w:sz w:val="32"/>
          <w:szCs w:val="32"/>
        </w:rPr>
        <w:t>年部门决算表</w:t>
      </w:r>
    </w:p>
    <w:p>
      <w:r>
        <w:object>
          <v:shape id="_x0000_i1025" o:spt="75" type="#_x0000_t75" style="height:339.75pt;width:408.75pt;" o:ole="t" filled="f" o:preferrelative="t" stroked="f" coordsize="21600,21600">
            <v:path/>
            <v:fill on="f" focussize="0,0"/>
            <v:stroke on="f" joinstyle="miter"/>
            <v:imagedata r:id="rId9" o:title=""/>
            <o:lock v:ext="edit" aspectratio="f"/>
            <w10:wrap type="none"/>
            <w10:anchorlock/>
          </v:shape>
          <o:OLEObject Type="Embed" ProgID="Excel.Sheet.12" ShapeID="_x0000_i1025" DrawAspect="Content" ObjectID="_1468075725" r:id="rId8">
            <o:LockedField>false</o:LockedField>
          </o:OLEObject>
        </w:object>
      </w:r>
    </w:p>
    <w:p/>
    <w:p/>
    <w:p/>
    <w:p/>
    <w:p/>
    <w:p/>
    <w:p>
      <w:r>
        <w:object>
          <v:shape id="_x0000_i1026" o:spt="75" type="#_x0000_t75" style="height:135.75pt;width:408pt;" o:ole="t" filled="f" o:preferrelative="t" stroked="f" coordsize="21600,21600">
            <v:path/>
            <v:fill on="f" focussize="0,0"/>
            <v:stroke on="f" joinstyle="miter"/>
            <v:imagedata r:id="rId11" o:title=""/>
            <o:lock v:ext="edit" aspectratio="f"/>
            <w10:wrap type="none"/>
            <w10:anchorlock/>
          </v:shape>
          <o:OLEObject Type="Embed" ProgID="Excel.Sheet.12" ShapeID="_x0000_i1026" DrawAspect="Content" ObjectID="_1468075726" r:id="rId10">
            <o:LockedField>false</o:LockedField>
          </o:OLEObject>
        </w:object>
      </w:r>
    </w:p>
    <w:p/>
    <w:p/>
    <w:p/>
    <w:p/>
    <w:p/>
    <w:p/>
    <w:p/>
    <w:p/>
    <w:p/>
    <w:p/>
    <w:p>
      <w:r>
        <w:object>
          <v:shape id="_x0000_i1027" o:spt="75" type="#_x0000_t75" style="height:142.5pt;width:408.75pt;" o:ole="t" filled="f" o:preferrelative="t" stroked="f" coordsize="21600,21600">
            <v:path/>
            <v:fill on="f" focussize="0,0"/>
            <v:stroke on="f" joinstyle="miter"/>
            <v:imagedata r:id="rId13" o:title=""/>
            <o:lock v:ext="edit" aspectratio="f"/>
            <w10:wrap type="none"/>
            <w10:anchorlock/>
          </v:shape>
          <o:OLEObject Type="Embed" ProgID="Excel.Sheet.12" ShapeID="_x0000_i1027" DrawAspect="Content" ObjectID="_1468075727" r:id="rId12">
            <o:LockedField>false</o:LockedField>
          </o:OLEObject>
        </w:object>
      </w:r>
    </w:p>
    <w:p/>
    <w:p/>
    <w:p/>
    <w:p/>
    <w:p/>
    <w:p>
      <w:r>
        <w:object>
          <v:shape id="_x0000_i1028" o:spt="75" type="#_x0000_t75" style="height:261.75pt;width:411pt;" o:ole="t" filled="f" o:preferrelative="t" stroked="f" coordsize="21600,21600">
            <v:path/>
            <v:fill on="f" focussize="0,0"/>
            <v:stroke on="f" joinstyle="miter"/>
            <v:imagedata r:id="rId15" o:title=""/>
            <o:lock v:ext="edit" aspectratio="f"/>
            <w10:wrap type="none"/>
            <w10:anchorlock/>
          </v:shape>
          <o:OLEObject Type="Embed" ProgID="Excel.Sheet.12" ShapeID="_x0000_i1028" DrawAspect="Content" ObjectID="_1468075728" r:id="rId14">
            <o:LockedField>false</o:LockedField>
          </o:OLEObject>
        </w:object>
      </w:r>
    </w:p>
    <w:p/>
    <w:p/>
    <w:p/>
    <w:p/>
    <w:p/>
    <w:p/>
    <w:p/>
    <w:p/>
    <w:p>
      <w:r>
        <w:object>
          <v:shape id="_x0000_i1029" o:spt="75" type="#_x0000_t75" style="height:205.5pt;width:403.5pt;" o:ole="t" filled="f" o:preferrelative="t" stroked="f" coordsize="21600,21600">
            <v:path/>
            <v:fill on="f" focussize="0,0"/>
            <v:stroke on="f" joinstyle="miter"/>
            <v:imagedata r:id="rId17" o:title=""/>
            <o:lock v:ext="edit" aspectratio="f"/>
            <w10:wrap type="none"/>
            <w10:anchorlock/>
          </v:shape>
          <o:OLEObject Type="Embed" ProgID="Excel.Sheet.12" ShapeID="_x0000_i1029" DrawAspect="Content" ObjectID="_1468075729" r:id="rId16">
            <o:LockedField>false</o:LockedField>
          </o:OLEObject>
        </w:object>
      </w:r>
    </w:p>
    <w:p/>
    <w:p/>
    <w:p/>
    <w:p>
      <w:pPr>
        <w:sectPr>
          <w:headerReference r:id="rId3" w:type="default"/>
          <w:footerReference r:id="rId4" w:type="default"/>
          <w:pgSz w:w="11906" w:h="16838"/>
          <w:pgMar w:top="1440" w:right="1800" w:bottom="1440" w:left="1800" w:header="851" w:footer="992" w:gutter="0"/>
          <w:cols w:space="425" w:num="1"/>
          <w:docGrid w:type="lines" w:linePitch="312" w:charSpace="0"/>
        </w:sectPr>
      </w:pPr>
    </w:p>
    <w:p/>
    <w:p>
      <w:r>
        <w:object>
          <v:shape id="_x0000_i1030" o:spt="75" type="#_x0000_t75" style="height:567.75pt;width:411.75pt;" o:ole="t" filled="f" o:preferrelative="t" stroked="f" coordsize="21600,21600">
            <v:path/>
            <v:fill on="f" focussize="0,0"/>
            <v:stroke on="f" joinstyle="miter"/>
            <v:imagedata r:id="rId19" o:title=""/>
            <o:lock v:ext="edit" aspectratio="f"/>
            <w10:wrap type="none"/>
            <w10:anchorlock/>
          </v:shape>
          <o:OLEObject Type="Embed" ProgID="Excel.Sheet.12" ShapeID="_x0000_i1030" DrawAspect="Content" ObjectID="_1468075730" r:id="rId18">
            <o:LockedField>false</o:LockedField>
          </o:OLEObject>
        </w:object>
      </w:r>
    </w:p>
    <w:p>
      <w:r>
        <w:object>
          <v:shape id="_x0000_i1031" o:spt="75" type="#_x0000_t75" style="height:336pt;width:413.25pt;" o:ole="t" filled="f" o:preferrelative="t" stroked="f" coordsize="21600,21600">
            <v:path/>
            <v:fill on="f" focussize="0,0"/>
            <v:stroke on="f" joinstyle="miter"/>
            <v:imagedata r:id="rId21" o:title=""/>
            <o:lock v:ext="edit" aspectratio="f"/>
            <w10:wrap type="none"/>
            <w10:anchorlock/>
          </v:shape>
          <o:OLEObject Type="Embed" ProgID="Excel.Sheet.12" ShapeID="_x0000_i1031" DrawAspect="Content" ObjectID="_1468075731" r:id="rId20">
            <o:LockedField>false</o:LockedField>
          </o:OLEObject>
        </w:object>
      </w:r>
    </w:p>
    <w:p/>
    <w:p/>
    <w:p/>
    <w:p/>
    <w:p/>
    <w:p/>
    <w:p>
      <w:r>
        <w:object>
          <v:shape id="_x0000_i1032" o:spt="75" type="#_x0000_t75" style="height:138pt;width:410.25pt;" o:ole="t" filled="f" o:preferrelative="t" stroked="f" coordsize="21600,21600">
            <v:path/>
            <v:fill on="f" focussize="0,0"/>
            <v:stroke on="f" joinstyle="miter"/>
            <v:imagedata r:id="rId23" o:title=""/>
            <o:lock v:ext="edit" aspectratio="f"/>
            <w10:wrap type="none"/>
            <w10:anchorlock/>
          </v:shape>
          <o:OLEObject Type="Embed" ProgID="Excel.Sheet.12" ShapeID="_x0000_i1032" DrawAspect="Content" ObjectID="_1468075732" r:id="rId22">
            <o:LockedField>false</o:LockedField>
          </o:OLEObject>
        </w:object>
      </w:r>
      <w:r>
        <w:br w:type="textWrapping"/>
      </w:r>
    </w:p>
    <w:p/>
    <w:p>
      <w:r>
        <w:object>
          <v:shape id="_x0000_i1033" o:spt="75" type="#_x0000_t75" style="height:114.75pt;width:409.5pt;" o:ole="t" filled="f" o:preferrelative="t" stroked="f" coordsize="21600,21600">
            <v:path/>
            <v:fill on="f" focussize="0,0"/>
            <v:stroke on="f" joinstyle="miter"/>
            <v:imagedata r:id="rId25" o:title=""/>
            <o:lock v:ext="edit" aspectratio="f"/>
            <w10:wrap type="none"/>
            <w10:anchorlock/>
          </v:shape>
          <o:OLEObject Type="Embed" ProgID="Excel.Sheet.12" ShapeID="_x0000_i1033" DrawAspect="Content" ObjectID="_1468075733" r:id="rId24">
            <o:LockedField>false</o:LockedField>
          </o:OLEObject>
        </w:object>
      </w:r>
    </w:p>
    <w:p/>
    <w:p/>
    <w:p/>
    <w:p>
      <w:r>
        <w:object>
          <v:shape id="_x0000_i1034" o:spt="75" type="#_x0000_t75" style="height:223.5pt;width:411pt;" o:ole="t" filled="f" o:preferrelative="t" stroked="f" coordsize="21600,21600">
            <v:path/>
            <v:fill on="f" focussize="0,0"/>
            <v:stroke on="f" joinstyle="miter"/>
            <v:imagedata r:id="rId27" o:title=""/>
            <o:lock v:ext="edit" aspectratio="f"/>
            <w10:wrap type="none"/>
            <w10:anchorlock/>
          </v:shape>
          <o:OLEObject Type="Embed" ProgID="Excel.Sheet.12" ShapeID="_x0000_i1034" DrawAspect="Content" ObjectID="_1468075734" r:id="rId26">
            <o:LockedField>false</o:LockedField>
          </o:OLEObject>
        </w:object>
      </w:r>
    </w:p>
    <w:p>
      <w:pPr>
        <w:spacing w:line="600" w:lineRule="exact"/>
        <w:ind w:firstLine="803" w:firstLineChars="250"/>
        <w:rPr>
          <w:rFonts w:ascii="仿宋_GB2312" w:eastAsia="仿宋_GB2312"/>
          <w:b/>
          <w:sz w:val="32"/>
          <w:szCs w:val="32"/>
        </w:rPr>
      </w:pPr>
      <w:r>
        <w:rPr>
          <w:rFonts w:hint="eastAsia" w:ascii="仿宋_GB2312" w:eastAsia="仿宋_GB2312"/>
          <w:b/>
          <w:sz w:val="32"/>
          <w:szCs w:val="32"/>
        </w:rPr>
        <w:t>第三部分南昌市西湖区环卫清运公司</w:t>
      </w:r>
      <w:r>
        <w:rPr>
          <w:rFonts w:ascii="仿宋_GB2312" w:eastAsia="仿宋_GB2312"/>
          <w:b/>
          <w:sz w:val="32"/>
          <w:szCs w:val="32"/>
        </w:rPr>
        <w:t>2020</w:t>
      </w:r>
      <w:r>
        <w:rPr>
          <w:rFonts w:hint="eastAsia" w:ascii="仿宋_GB2312" w:eastAsia="仿宋_GB2312"/>
          <w:b/>
          <w:sz w:val="32"/>
          <w:szCs w:val="32"/>
        </w:rPr>
        <w:t>年部门决算情况说明</w:t>
      </w:r>
    </w:p>
    <w:p>
      <w:pPr>
        <w:spacing w:line="600" w:lineRule="exact"/>
        <w:ind w:firstLine="643" w:firstLineChars="200"/>
        <w:rPr>
          <w:rFonts w:ascii="仿宋" w:hAnsi="仿宋" w:eastAsia="仿宋" w:cs="宋体"/>
          <w:color w:val="000000"/>
          <w:kern w:val="0"/>
          <w:sz w:val="32"/>
          <w:szCs w:val="32"/>
        </w:rPr>
      </w:pPr>
      <w:r>
        <w:rPr>
          <w:rFonts w:hint="eastAsia" w:ascii="仿宋_GB2312" w:eastAsia="仿宋_GB2312"/>
          <w:b/>
          <w:sz w:val="32"/>
          <w:szCs w:val="32"/>
        </w:rPr>
        <w:t>（一）收入决算情况</w:t>
      </w:r>
    </w:p>
    <w:p>
      <w:pPr>
        <w:spacing w:line="520" w:lineRule="exact"/>
        <w:ind w:firstLine="800" w:firstLineChars="250"/>
        <w:rPr>
          <w:rFonts w:ascii="仿宋_GB2312" w:eastAsia="仿宋_GB2312"/>
          <w:color w:val="000000"/>
          <w:sz w:val="32"/>
          <w:szCs w:val="32"/>
        </w:rPr>
      </w:pPr>
      <w:r>
        <w:rPr>
          <w:rFonts w:ascii="仿宋_GB2312" w:eastAsia="仿宋_GB2312"/>
          <w:sz w:val="32"/>
          <w:szCs w:val="32"/>
        </w:rPr>
        <w:t>2020</w:t>
      </w:r>
      <w:r>
        <w:rPr>
          <w:rFonts w:hint="eastAsia" w:ascii="仿宋_GB2312" w:eastAsia="仿宋_GB2312"/>
          <w:sz w:val="32"/>
          <w:szCs w:val="32"/>
        </w:rPr>
        <w:t>年西湖区环卫清运公司收入决算</w:t>
      </w:r>
      <w:r>
        <w:rPr>
          <w:rFonts w:ascii="仿宋_GB2312" w:eastAsia="仿宋_GB2312"/>
          <w:sz w:val="32"/>
          <w:szCs w:val="32"/>
        </w:rPr>
        <w:t>1043.93</w:t>
      </w:r>
      <w:r>
        <w:rPr>
          <w:rFonts w:hint="eastAsia" w:ascii="仿宋_GB2312" w:eastAsia="仿宋_GB2312"/>
          <w:sz w:val="32"/>
          <w:szCs w:val="32"/>
        </w:rPr>
        <w:t>万元，</w:t>
      </w:r>
      <w:r>
        <w:rPr>
          <w:rFonts w:hint="eastAsia" w:ascii="仿宋" w:hAnsi="仿宋" w:eastAsia="仿宋"/>
          <w:sz w:val="30"/>
          <w:szCs w:val="30"/>
        </w:rPr>
        <w:t>较</w:t>
      </w:r>
      <w:r>
        <w:rPr>
          <w:rFonts w:ascii="仿宋" w:hAnsi="仿宋" w:eastAsia="仿宋"/>
          <w:sz w:val="30"/>
          <w:szCs w:val="30"/>
        </w:rPr>
        <w:t>2019</w:t>
      </w:r>
      <w:r>
        <w:rPr>
          <w:rFonts w:hint="eastAsia" w:ascii="仿宋" w:hAnsi="仿宋" w:eastAsia="仿宋"/>
          <w:sz w:val="30"/>
          <w:szCs w:val="30"/>
        </w:rPr>
        <w:t>年减少</w:t>
      </w:r>
      <w:r>
        <w:rPr>
          <w:rFonts w:ascii="仿宋" w:hAnsi="仿宋" w:eastAsia="仿宋"/>
          <w:sz w:val="30"/>
          <w:szCs w:val="30"/>
        </w:rPr>
        <w:t xml:space="preserve"> 132.05</w:t>
      </w:r>
      <w:r>
        <w:rPr>
          <w:rFonts w:hint="eastAsia" w:ascii="仿宋" w:hAnsi="仿宋" w:eastAsia="仿宋"/>
          <w:sz w:val="30"/>
          <w:szCs w:val="30"/>
        </w:rPr>
        <w:t>万元，下降</w:t>
      </w:r>
      <w:r>
        <w:rPr>
          <w:rFonts w:ascii="仿宋" w:hAnsi="仿宋" w:eastAsia="仿宋"/>
          <w:sz w:val="30"/>
          <w:szCs w:val="30"/>
        </w:rPr>
        <w:t>11.23 %</w:t>
      </w:r>
      <w:r>
        <w:rPr>
          <w:rFonts w:hint="eastAsia" w:ascii="仿宋" w:hAnsi="仿宋" w:eastAsia="仿宋"/>
          <w:sz w:val="30"/>
          <w:szCs w:val="30"/>
        </w:rPr>
        <w:t>；</w:t>
      </w:r>
      <w:r>
        <w:rPr>
          <w:rFonts w:hint="eastAsia" w:ascii="仿宋_GB2312" w:eastAsia="仿宋_GB2312"/>
          <w:sz w:val="32"/>
          <w:szCs w:val="32"/>
        </w:rPr>
        <w:t>其中：财政拨款</w:t>
      </w:r>
      <w:r>
        <w:rPr>
          <w:rFonts w:ascii="仿宋_GB2312" w:eastAsia="仿宋_GB2312"/>
          <w:sz w:val="32"/>
          <w:szCs w:val="32"/>
        </w:rPr>
        <w:t>1043.93</w:t>
      </w:r>
      <w:r>
        <w:rPr>
          <w:rFonts w:hint="eastAsia" w:ascii="仿宋_GB2312" w:eastAsia="仿宋_GB2312"/>
          <w:sz w:val="32"/>
          <w:szCs w:val="32"/>
        </w:rPr>
        <w:t>万元</w:t>
      </w:r>
      <w:r>
        <w:rPr>
          <w:rFonts w:hint="eastAsia" w:ascii="仿宋_GB2312" w:eastAsia="仿宋_GB2312"/>
          <w:color w:val="000000"/>
          <w:sz w:val="32"/>
          <w:szCs w:val="32"/>
        </w:rPr>
        <w:t>。</w:t>
      </w:r>
    </w:p>
    <w:p>
      <w:pPr>
        <w:spacing w:line="520" w:lineRule="exact"/>
        <w:ind w:firstLine="643" w:firstLineChars="200"/>
        <w:outlineLvl w:val="0"/>
        <w:rPr>
          <w:rFonts w:ascii="仿宋_GB2312" w:eastAsia="仿宋_GB2312"/>
          <w:sz w:val="32"/>
          <w:szCs w:val="32"/>
        </w:rPr>
      </w:pPr>
      <w:r>
        <w:rPr>
          <w:rFonts w:hint="eastAsia" w:ascii="仿宋_GB2312" w:eastAsia="仿宋_GB2312"/>
          <w:b/>
          <w:sz w:val="32"/>
          <w:szCs w:val="32"/>
        </w:rPr>
        <w:t>（二）支出决算情况</w:t>
      </w:r>
    </w:p>
    <w:p>
      <w:pPr>
        <w:spacing w:line="520" w:lineRule="exact"/>
        <w:ind w:firstLine="640" w:firstLineChars="200"/>
        <w:rPr>
          <w:rFonts w:ascii="仿宋_GB2312" w:eastAsia="仿宋_GB2312"/>
          <w:color w:val="000000"/>
          <w:sz w:val="32"/>
          <w:szCs w:val="32"/>
        </w:rPr>
      </w:pPr>
      <w:r>
        <w:rPr>
          <w:rFonts w:ascii="仿宋_GB2312" w:eastAsia="仿宋_GB2312"/>
          <w:sz w:val="32"/>
          <w:szCs w:val="32"/>
        </w:rPr>
        <w:t xml:space="preserve"> 2020</w:t>
      </w:r>
      <w:r>
        <w:rPr>
          <w:rFonts w:hint="eastAsia" w:ascii="仿宋_GB2312" w:eastAsia="仿宋_GB2312"/>
          <w:sz w:val="32"/>
          <w:szCs w:val="32"/>
        </w:rPr>
        <w:t>年西湖区环卫清运公司财政拨款支出决算</w:t>
      </w:r>
      <w:r>
        <w:rPr>
          <w:rFonts w:ascii="仿宋_GB2312" w:eastAsia="仿宋_GB2312"/>
          <w:sz w:val="32"/>
          <w:szCs w:val="32"/>
        </w:rPr>
        <w:t>1043.93</w:t>
      </w:r>
      <w:r>
        <w:rPr>
          <w:rFonts w:hint="eastAsia" w:ascii="仿宋_GB2312" w:eastAsia="仿宋_GB2312"/>
          <w:sz w:val="32"/>
          <w:szCs w:val="32"/>
        </w:rPr>
        <w:t>万元。较</w:t>
      </w:r>
      <w:r>
        <w:rPr>
          <w:rFonts w:ascii="仿宋_GB2312" w:eastAsia="仿宋_GB2312"/>
          <w:sz w:val="32"/>
          <w:szCs w:val="32"/>
        </w:rPr>
        <w:t>2019</w:t>
      </w:r>
      <w:r>
        <w:rPr>
          <w:rFonts w:hint="eastAsia" w:ascii="仿宋_GB2312" w:eastAsia="仿宋_GB2312"/>
          <w:sz w:val="32"/>
          <w:szCs w:val="32"/>
        </w:rPr>
        <w:t>年减少</w:t>
      </w:r>
      <w:r>
        <w:rPr>
          <w:rFonts w:ascii="仿宋_GB2312" w:eastAsia="仿宋_GB2312"/>
          <w:sz w:val="32"/>
          <w:szCs w:val="32"/>
        </w:rPr>
        <w:t xml:space="preserve"> 150.03</w:t>
      </w:r>
      <w:r>
        <w:rPr>
          <w:rFonts w:hint="eastAsia" w:ascii="仿宋_GB2312" w:eastAsia="仿宋_GB2312"/>
          <w:sz w:val="32"/>
          <w:szCs w:val="32"/>
        </w:rPr>
        <w:t>万元，下降</w:t>
      </w:r>
      <w:r>
        <w:rPr>
          <w:rFonts w:ascii="仿宋_GB2312" w:eastAsia="仿宋_GB2312"/>
          <w:sz w:val="32"/>
          <w:szCs w:val="32"/>
        </w:rPr>
        <w:t>12.58 %</w:t>
      </w:r>
      <w:r>
        <w:rPr>
          <w:rFonts w:hint="eastAsia" w:ascii="仿宋_GB2312" w:eastAsia="仿宋_GB2312"/>
          <w:sz w:val="32"/>
          <w:szCs w:val="32"/>
        </w:rPr>
        <w:t>；其中</w:t>
      </w:r>
      <w:r>
        <w:rPr>
          <w:rFonts w:ascii="仿宋_GB2312" w:eastAsia="仿宋_GB2312"/>
          <w:sz w:val="32"/>
          <w:szCs w:val="32"/>
        </w:rPr>
        <w:t xml:space="preserve">: </w:t>
      </w:r>
      <w:r>
        <w:rPr>
          <w:rFonts w:ascii="仿宋_GB2312" w:eastAsia="仿宋_GB2312"/>
          <w:sz w:val="32"/>
          <w:szCs w:val="32"/>
        </w:rPr>
        <w:br w:type="textWrapping"/>
      </w:r>
      <w:r>
        <w:rPr>
          <w:rFonts w:hint="eastAsia" w:ascii="仿宋_GB2312" w:eastAsia="仿宋_GB2312"/>
          <w:sz w:val="32"/>
          <w:szCs w:val="32"/>
        </w:rPr>
        <w:t>按支出功能科目划分：社会保障和就业支出</w:t>
      </w:r>
      <w:r>
        <w:rPr>
          <w:rFonts w:ascii="仿宋_GB2312" w:eastAsia="仿宋_GB2312"/>
          <w:sz w:val="32"/>
          <w:szCs w:val="32"/>
        </w:rPr>
        <w:t>29.98</w:t>
      </w:r>
      <w:r>
        <w:rPr>
          <w:rFonts w:hint="eastAsia" w:ascii="仿宋_GB2312" w:eastAsia="仿宋_GB2312"/>
          <w:sz w:val="32"/>
          <w:szCs w:val="32"/>
        </w:rPr>
        <w:t>万元、城乡社区支出</w:t>
      </w:r>
      <w:r>
        <w:rPr>
          <w:rFonts w:ascii="仿宋_GB2312" w:eastAsia="仿宋_GB2312"/>
          <w:sz w:val="32"/>
          <w:szCs w:val="32"/>
        </w:rPr>
        <w:t>1013.95</w:t>
      </w:r>
      <w:r>
        <w:rPr>
          <w:rFonts w:hint="eastAsia" w:ascii="仿宋_GB2312" w:eastAsia="仿宋_GB2312"/>
          <w:sz w:val="32"/>
          <w:szCs w:val="32"/>
        </w:rPr>
        <w:t>万元。</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（三）财政拨款支出决算情况</w:t>
      </w:r>
      <w:r>
        <w:rPr>
          <w:rFonts w:ascii="仿宋_GB2312" w:eastAsia="仿宋_GB2312"/>
          <w:sz w:val="32"/>
          <w:szCs w:val="32"/>
        </w:rPr>
        <w:br w:type="textWrapping"/>
      </w:r>
      <w:r>
        <w:rPr>
          <w:rFonts w:ascii="仿宋_GB2312" w:eastAsia="仿宋_GB2312"/>
          <w:sz w:val="32"/>
          <w:szCs w:val="32"/>
        </w:rPr>
        <w:t xml:space="preserve">    2020</w:t>
      </w:r>
      <w:r>
        <w:rPr>
          <w:rFonts w:hint="eastAsia" w:ascii="仿宋_GB2312" w:eastAsia="仿宋_GB2312"/>
          <w:sz w:val="32"/>
          <w:szCs w:val="32"/>
        </w:rPr>
        <w:t>年西湖区环卫清运公司财政拨款支出决算</w:t>
      </w:r>
      <w:r>
        <w:rPr>
          <w:rFonts w:ascii="仿宋_GB2312" w:eastAsia="仿宋_GB2312"/>
          <w:sz w:val="32"/>
          <w:szCs w:val="32"/>
        </w:rPr>
        <w:t>1043.93</w:t>
      </w:r>
    </w:p>
    <w:p>
      <w:pPr>
        <w:spacing w:line="520" w:lineRule="exact"/>
        <w:rPr>
          <w:rFonts w:ascii="仿宋_GB2312" w:eastAsia="仿宋_GB2312"/>
          <w:sz w:val="32"/>
          <w:szCs w:val="32"/>
        </w:rPr>
      </w:pPr>
      <w:r>
        <w:rPr>
          <w:rFonts w:hint="eastAsia" w:ascii="仿宋_GB2312" w:eastAsia="仿宋_GB2312"/>
          <w:sz w:val="32"/>
          <w:szCs w:val="32"/>
        </w:rPr>
        <w:t>万元</w:t>
      </w:r>
      <w:r>
        <w:rPr>
          <w:rFonts w:hint="eastAsia" w:ascii="仿宋_GB2312" w:eastAsia="仿宋_GB2312"/>
          <w:color w:val="000000"/>
          <w:sz w:val="32"/>
          <w:szCs w:val="32"/>
        </w:rPr>
        <w:t>。</w:t>
      </w:r>
      <w:r>
        <w:rPr>
          <w:rFonts w:hint="eastAsia" w:ascii="仿宋_GB2312" w:eastAsia="仿宋_GB2312"/>
          <w:sz w:val="32"/>
          <w:szCs w:val="32"/>
        </w:rPr>
        <w:t>较</w:t>
      </w:r>
      <w:r>
        <w:rPr>
          <w:rFonts w:ascii="仿宋_GB2312" w:eastAsia="仿宋_GB2312"/>
          <w:sz w:val="32"/>
          <w:szCs w:val="32"/>
        </w:rPr>
        <w:t>2019</w:t>
      </w:r>
      <w:r>
        <w:rPr>
          <w:rFonts w:hint="eastAsia" w:ascii="仿宋_GB2312" w:eastAsia="仿宋_GB2312"/>
          <w:sz w:val="32"/>
          <w:szCs w:val="32"/>
        </w:rPr>
        <w:t>年减少</w:t>
      </w:r>
      <w:r>
        <w:rPr>
          <w:rFonts w:ascii="仿宋_GB2312" w:eastAsia="仿宋_GB2312"/>
          <w:sz w:val="32"/>
          <w:szCs w:val="32"/>
        </w:rPr>
        <w:t xml:space="preserve"> 150.03</w:t>
      </w:r>
      <w:r>
        <w:rPr>
          <w:rFonts w:hint="eastAsia" w:ascii="仿宋_GB2312" w:eastAsia="仿宋_GB2312"/>
          <w:sz w:val="32"/>
          <w:szCs w:val="32"/>
        </w:rPr>
        <w:t>万元，下降</w:t>
      </w:r>
      <w:r>
        <w:rPr>
          <w:rFonts w:ascii="仿宋_GB2312" w:eastAsia="仿宋_GB2312"/>
          <w:sz w:val="32"/>
          <w:szCs w:val="32"/>
        </w:rPr>
        <w:t>12.58 %</w:t>
      </w:r>
      <w:r>
        <w:rPr>
          <w:rFonts w:hint="eastAsia" w:ascii="仿宋_GB2312" w:eastAsia="仿宋_GB2312"/>
          <w:sz w:val="32"/>
          <w:szCs w:val="32"/>
        </w:rPr>
        <w:t>；其中</w:t>
      </w:r>
      <w:r>
        <w:rPr>
          <w:rFonts w:ascii="仿宋_GB2312" w:eastAsia="仿宋_GB2312"/>
          <w:sz w:val="32"/>
          <w:szCs w:val="32"/>
        </w:rPr>
        <w:t xml:space="preserve">: </w:t>
      </w:r>
      <w:r>
        <w:rPr>
          <w:rFonts w:ascii="仿宋_GB2312" w:eastAsia="仿宋_GB2312"/>
          <w:sz w:val="32"/>
          <w:szCs w:val="32"/>
        </w:rPr>
        <w:br w:type="textWrapping"/>
      </w:r>
      <w:r>
        <w:rPr>
          <w:rFonts w:hint="eastAsia" w:ascii="仿宋_GB2312" w:eastAsia="仿宋_GB2312"/>
          <w:sz w:val="32"/>
          <w:szCs w:val="32"/>
        </w:rPr>
        <w:t>按支出项目类别划分：基本支出</w:t>
      </w:r>
      <w:r>
        <w:rPr>
          <w:rFonts w:ascii="仿宋_GB2312" w:eastAsia="仿宋_GB2312"/>
          <w:sz w:val="32"/>
          <w:szCs w:val="32"/>
        </w:rPr>
        <w:t>414.80</w:t>
      </w:r>
      <w:r>
        <w:rPr>
          <w:rFonts w:hint="eastAsia" w:ascii="仿宋_GB2312" w:eastAsia="仿宋_GB2312"/>
          <w:sz w:val="32"/>
          <w:szCs w:val="32"/>
        </w:rPr>
        <w:t>万元，占支出决算总额的</w:t>
      </w:r>
      <w:r>
        <w:rPr>
          <w:rFonts w:ascii="仿宋_GB2312" w:eastAsia="仿宋_GB2312"/>
          <w:sz w:val="32"/>
          <w:szCs w:val="32"/>
        </w:rPr>
        <w:t xml:space="preserve">39.73% , </w:t>
      </w:r>
      <w:r>
        <w:rPr>
          <w:rFonts w:hint="eastAsia" w:ascii="仿宋_GB2312" w:eastAsia="仿宋_GB2312"/>
          <w:sz w:val="32"/>
          <w:szCs w:val="32"/>
        </w:rPr>
        <w:t>项目支出</w:t>
      </w:r>
      <w:r>
        <w:rPr>
          <w:rFonts w:ascii="仿宋_GB2312" w:eastAsia="仿宋_GB2312"/>
          <w:sz w:val="32"/>
          <w:szCs w:val="32"/>
        </w:rPr>
        <w:t>629.13</w:t>
      </w:r>
      <w:r>
        <w:rPr>
          <w:rFonts w:hint="eastAsia" w:ascii="仿宋_GB2312" w:eastAsia="仿宋_GB2312"/>
          <w:sz w:val="32"/>
          <w:szCs w:val="32"/>
        </w:rPr>
        <w:t>万元，占支出决算总额的</w:t>
      </w:r>
      <w:r>
        <w:rPr>
          <w:rFonts w:ascii="仿宋_GB2312" w:eastAsia="仿宋_GB2312"/>
          <w:sz w:val="32"/>
          <w:szCs w:val="32"/>
        </w:rPr>
        <w:t xml:space="preserve">60.27% </w:t>
      </w:r>
      <w:r>
        <w:rPr>
          <w:rFonts w:hint="eastAsia" w:ascii="仿宋_GB2312" w:eastAsia="仿宋_GB2312"/>
          <w:sz w:val="32"/>
          <w:szCs w:val="32"/>
        </w:rPr>
        <w:t>。</w:t>
      </w:r>
    </w:p>
    <w:p>
      <w:pPr>
        <w:spacing w:line="520" w:lineRule="exact"/>
        <w:ind w:firstLine="643" w:firstLineChars="200"/>
        <w:rPr>
          <w:rFonts w:ascii="仿宋_GB2312" w:hAnsi="宋体" w:eastAsia="仿宋_GB2312"/>
          <w:b/>
          <w:sz w:val="32"/>
          <w:szCs w:val="32"/>
        </w:rPr>
      </w:pPr>
      <w:r>
        <w:rPr>
          <w:rFonts w:hint="eastAsia" w:ascii="仿宋_GB2312" w:eastAsia="仿宋_GB2312"/>
          <w:b/>
          <w:sz w:val="32"/>
          <w:szCs w:val="32"/>
        </w:rPr>
        <w:t>（四）一般公共预算财政拨款支出决算情况</w:t>
      </w:r>
    </w:p>
    <w:p>
      <w:pPr>
        <w:spacing w:line="520" w:lineRule="exact"/>
        <w:ind w:firstLine="640" w:firstLineChars="200"/>
        <w:rPr>
          <w:rFonts w:ascii="仿宋_GB2312" w:eastAsia="仿宋_GB2312"/>
          <w:color w:val="FF0000"/>
          <w:sz w:val="32"/>
          <w:szCs w:val="32"/>
        </w:rPr>
      </w:pPr>
      <w:r>
        <w:rPr>
          <w:rFonts w:ascii="仿宋_GB2312" w:eastAsia="仿宋_GB2312"/>
          <w:sz w:val="32"/>
          <w:szCs w:val="32"/>
        </w:rPr>
        <w:t>2020</w:t>
      </w:r>
      <w:r>
        <w:rPr>
          <w:rFonts w:hint="eastAsia" w:ascii="仿宋_GB2312" w:eastAsia="仿宋_GB2312"/>
          <w:sz w:val="32"/>
          <w:szCs w:val="32"/>
        </w:rPr>
        <w:t>年西湖区环卫清运公司</w:t>
      </w:r>
      <w:r>
        <w:rPr>
          <w:rFonts w:hint="eastAsia" w:ascii="仿宋_GB2312" w:eastAsia="仿宋_GB2312"/>
          <w:b/>
          <w:sz w:val="32"/>
          <w:szCs w:val="32"/>
        </w:rPr>
        <w:t>公共</w:t>
      </w:r>
      <w:r>
        <w:rPr>
          <w:rFonts w:hint="eastAsia" w:ascii="仿宋_GB2312" w:eastAsia="仿宋_GB2312"/>
          <w:bCs/>
          <w:sz w:val="32"/>
          <w:szCs w:val="32"/>
        </w:rPr>
        <w:t>预算财政</w:t>
      </w:r>
      <w:r>
        <w:rPr>
          <w:rFonts w:hint="eastAsia" w:ascii="仿宋_GB2312" w:eastAsia="仿宋_GB2312"/>
          <w:sz w:val="32"/>
          <w:szCs w:val="32"/>
        </w:rPr>
        <w:t>拨款支出决算</w:t>
      </w:r>
      <w:r>
        <w:rPr>
          <w:rFonts w:ascii="仿宋_GB2312" w:eastAsia="仿宋_GB2312"/>
          <w:sz w:val="32"/>
          <w:szCs w:val="32"/>
        </w:rPr>
        <w:t>1043.93</w:t>
      </w:r>
      <w:r>
        <w:rPr>
          <w:rFonts w:hint="eastAsia" w:ascii="仿宋_GB2312" w:eastAsia="仿宋_GB2312"/>
          <w:sz w:val="32"/>
          <w:szCs w:val="32"/>
        </w:rPr>
        <w:t>万元。</w:t>
      </w:r>
    </w:p>
    <w:p>
      <w:pPr>
        <w:spacing w:line="540" w:lineRule="exact"/>
        <w:ind w:left="481" w:leftChars="229" w:firstLine="313" w:firstLineChars="98"/>
        <w:rPr>
          <w:rFonts w:ascii="仿宋_GB2312" w:eastAsia="仿宋_GB2312"/>
          <w:sz w:val="32"/>
          <w:szCs w:val="32"/>
        </w:rPr>
      </w:pPr>
      <w:r>
        <w:rPr>
          <w:rFonts w:hint="eastAsia" w:ascii="仿宋_GB2312" w:eastAsia="仿宋_GB2312"/>
          <w:sz w:val="32"/>
          <w:szCs w:val="32"/>
        </w:rPr>
        <w:t>按支出项目类别划分：基本支出</w:t>
      </w:r>
      <w:r>
        <w:rPr>
          <w:rFonts w:ascii="仿宋_GB2312" w:eastAsia="仿宋_GB2312"/>
          <w:sz w:val="32"/>
          <w:szCs w:val="32"/>
        </w:rPr>
        <w:t>414.80</w:t>
      </w:r>
      <w:r>
        <w:rPr>
          <w:rFonts w:hint="eastAsia" w:ascii="仿宋_GB2312" w:eastAsia="仿宋_GB2312"/>
          <w:sz w:val="32"/>
          <w:szCs w:val="32"/>
        </w:rPr>
        <w:t>万元，占支出决算总额的</w:t>
      </w:r>
      <w:r>
        <w:rPr>
          <w:rFonts w:ascii="仿宋_GB2312" w:eastAsia="仿宋_GB2312"/>
          <w:sz w:val="32"/>
          <w:szCs w:val="32"/>
        </w:rPr>
        <w:t xml:space="preserve">39.73% , </w:t>
      </w:r>
      <w:r>
        <w:rPr>
          <w:rFonts w:hint="eastAsia" w:ascii="仿宋_GB2312" w:eastAsia="仿宋_GB2312"/>
          <w:sz w:val="32"/>
          <w:szCs w:val="32"/>
        </w:rPr>
        <w:t>项目支出</w:t>
      </w:r>
      <w:r>
        <w:rPr>
          <w:rFonts w:ascii="仿宋_GB2312" w:eastAsia="仿宋_GB2312"/>
          <w:sz w:val="32"/>
          <w:szCs w:val="32"/>
        </w:rPr>
        <w:t>629.13</w:t>
      </w:r>
      <w:r>
        <w:rPr>
          <w:rFonts w:hint="eastAsia" w:ascii="仿宋_GB2312" w:eastAsia="仿宋_GB2312"/>
          <w:sz w:val="32"/>
          <w:szCs w:val="32"/>
        </w:rPr>
        <w:t>万元，占支出决算总额的</w:t>
      </w:r>
      <w:r>
        <w:rPr>
          <w:rFonts w:ascii="仿宋_GB2312" w:eastAsia="仿宋_GB2312"/>
          <w:sz w:val="32"/>
          <w:szCs w:val="32"/>
        </w:rPr>
        <w:t>60.27%</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（五）一般公共预算财政拨款“三公”经费支出决算情况</w:t>
      </w:r>
    </w:p>
    <w:p>
      <w:pPr>
        <w:widowControl/>
        <w:spacing w:line="540" w:lineRule="exact"/>
        <w:ind w:firstLine="800" w:firstLineChars="250"/>
        <w:rPr>
          <w:rFonts w:ascii="仿宋_GB2312" w:eastAsia="仿宋_GB2312"/>
          <w:bCs/>
          <w:sz w:val="32"/>
          <w:szCs w:val="32"/>
        </w:rPr>
      </w:pPr>
      <w:r>
        <w:rPr>
          <w:rFonts w:hint="eastAsia" w:ascii="仿宋_GB2312" w:eastAsia="仿宋_GB2312"/>
          <w:sz w:val="32"/>
          <w:szCs w:val="32"/>
        </w:rPr>
        <w:t>本部门</w:t>
      </w:r>
      <w:r>
        <w:rPr>
          <w:rFonts w:ascii="仿宋_GB2312" w:eastAsia="仿宋_GB2312"/>
          <w:sz w:val="32"/>
          <w:szCs w:val="32"/>
        </w:rPr>
        <w:t>20020</w:t>
      </w:r>
      <w:r>
        <w:rPr>
          <w:rFonts w:hint="eastAsia" w:ascii="仿宋_GB2312" w:eastAsia="仿宋_GB2312"/>
          <w:sz w:val="32"/>
          <w:szCs w:val="32"/>
        </w:rPr>
        <w:t>年一般公共预算</w:t>
      </w:r>
      <w:r>
        <w:rPr>
          <w:rFonts w:hint="eastAsia" w:ascii="仿宋_GB2312" w:eastAsia="仿宋_GB2312"/>
          <w:bCs/>
          <w:sz w:val="32"/>
          <w:szCs w:val="32"/>
        </w:rPr>
        <w:t>财政拨款“三公”经费</w:t>
      </w:r>
      <w:r>
        <w:rPr>
          <w:rFonts w:hint="eastAsia" w:ascii="仿宋_GB2312" w:eastAsia="仿宋_GB2312"/>
          <w:b/>
          <w:sz w:val="32"/>
          <w:szCs w:val="32"/>
        </w:rPr>
        <w:t>支出年</w:t>
      </w:r>
      <w:r>
        <w:rPr>
          <w:rFonts w:hint="eastAsia" w:ascii="仿宋_GB2312" w:eastAsia="仿宋_GB2312"/>
          <w:bCs/>
          <w:sz w:val="32"/>
          <w:szCs w:val="32"/>
        </w:rPr>
        <w:t>初预算数为</w:t>
      </w:r>
      <w:r>
        <w:rPr>
          <w:rFonts w:ascii="仿宋_GB2312" w:eastAsia="仿宋_GB2312"/>
          <w:bCs/>
          <w:sz w:val="32"/>
          <w:szCs w:val="32"/>
        </w:rPr>
        <w:t>0</w:t>
      </w:r>
      <w:r>
        <w:rPr>
          <w:rFonts w:hint="eastAsia" w:ascii="仿宋_GB2312" w:eastAsia="仿宋_GB2312"/>
          <w:bCs/>
          <w:sz w:val="32"/>
          <w:szCs w:val="32"/>
        </w:rPr>
        <w:t>万元，决算数为</w:t>
      </w:r>
      <w:r>
        <w:rPr>
          <w:rFonts w:ascii="仿宋_GB2312" w:eastAsia="仿宋_GB2312"/>
          <w:bCs/>
          <w:sz w:val="32"/>
          <w:szCs w:val="32"/>
        </w:rPr>
        <w:t>0</w:t>
      </w:r>
      <w:r>
        <w:rPr>
          <w:rFonts w:hint="eastAsia" w:ascii="仿宋_GB2312" w:eastAsia="仿宋_GB2312"/>
          <w:bCs/>
          <w:sz w:val="32"/>
          <w:szCs w:val="32"/>
        </w:rPr>
        <w:t>万</w:t>
      </w:r>
      <w:r>
        <w:rPr>
          <w:rFonts w:hint="eastAsia" w:ascii="仿宋_GB2312" w:eastAsia="仿宋_GB2312"/>
          <w:b/>
          <w:sz w:val="32"/>
          <w:szCs w:val="32"/>
        </w:rPr>
        <w:t>元，</w:t>
      </w:r>
      <w:r>
        <w:rPr>
          <w:rFonts w:hint="eastAsia" w:ascii="仿宋_GB2312" w:eastAsia="仿宋_GB2312"/>
          <w:bCs/>
          <w:sz w:val="32"/>
          <w:szCs w:val="32"/>
        </w:rPr>
        <w:t>完成预算的</w:t>
      </w:r>
      <w:r>
        <w:rPr>
          <w:rFonts w:ascii="仿宋_GB2312" w:eastAsia="仿宋_GB2312"/>
          <w:bCs/>
          <w:sz w:val="32"/>
          <w:szCs w:val="32"/>
        </w:rPr>
        <w:t>0%</w:t>
      </w:r>
      <w:r>
        <w:rPr>
          <w:rFonts w:hint="eastAsia" w:ascii="仿宋_GB2312" w:eastAsia="仿宋_GB2312"/>
          <w:bCs/>
          <w:sz w:val="32"/>
          <w:szCs w:val="32"/>
        </w:rPr>
        <w:t>，决算数较</w:t>
      </w:r>
      <w:r>
        <w:rPr>
          <w:rFonts w:ascii="仿宋_GB2312" w:eastAsia="仿宋_GB2312"/>
          <w:bCs/>
          <w:sz w:val="32"/>
          <w:szCs w:val="32"/>
        </w:rPr>
        <w:t>2019</w:t>
      </w:r>
      <w:r>
        <w:rPr>
          <w:rFonts w:hint="eastAsia" w:ascii="仿宋_GB2312" w:eastAsia="仿宋_GB2312"/>
          <w:bCs/>
          <w:sz w:val="32"/>
          <w:szCs w:val="32"/>
        </w:rPr>
        <w:t>年增加（减少）</w:t>
      </w:r>
      <w:r>
        <w:rPr>
          <w:rFonts w:ascii="仿宋_GB2312" w:eastAsia="仿宋_GB2312"/>
          <w:bCs/>
          <w:sz w:val="32"/>
          <w:szCs w:val="32"/>
        </w:rPr>
        <w:t>0</w:t>
      </w:r>
      <w:r>
        <w:rPr>
          <w:rFonts w:hint="eastAsia" w:ascii="仿宋_GB2312" w:eastAsia="仿宋_GB2312"/>
          <w:bCs/>
          <w:sz w:val="32"/>
          <w:szCs w:val="32"/>
        </w:rPr>
        <w:t>万元，增长（减少）</w:t>
      </w:r>
      <w:r>
        <w:rPr>
          <w:rFonts w:ascii="仿宋_GB2312" w:eastAsia="仿宋_GB2312"/>
          <w:bCs/>
          <w:sz w:val="32"/>
          <w:szCs w:val="32"/>
        </w:rPr>
        <w:t>0%</w:t>
      </w:r>
      <w:r>
        <w:rPr>
          <w:rFonts w:hint="eastAsia" w:ascii="仿宋_GB2312" w:eastAsia="仿宋_GB2312"/>
          <w:bCs/>
          <w:sz w:val="32"/>
          <w:szCs w:val="32"/>
        </w:rPr>
        <w:t>，其中：</w:t>
      </w:r>
    </w:p>
    <w:p>
      <w:pPr>
        <w:widowControl/>
        <w:spacing w:line="540" w:lineRule="exact"/>
        <w:ind w:firstLine="803" w:firstLineChars="250"/>
        <w:rPr>
          <w:rFonts w:ascii="仿宋_GB2312" w:eastAsia="仿宋_GB2312"/>
          <w:bCs/>
          <w:sz w:val="32"/>
          <w:szCs w:val="32"/>
        </w:rPr>
      </w:pPr>
      <w:r>
        <w:rPr>
          <w:rFonts w:hint="eastAsia" w:ascii="仿宋_GB2312" w:eastAsia="仿宋_GB2312"/>
          <w:b/>
          <w:sz w:val="32"/>
          <w:szCs w:val="32"/>
        </w:rPr>
        <w:t>（一）</w:t>
      </w:r>
      <w:r>
        <w:rPr>
          <w:rFonts w:hint="eastAsia" w:ascii="仿宋_GB2312" w:eastAsia="仿宋_GB2312"/>
          <w:bCs/>
          <w:sz w:val="32"/>
          <w:szCs w:val="32"/>
        </w:rPr>
        <w:t>因公出国（境）支出年初预算数为</w:t>
      </w:r>
      <w:r>
        <w:rPr>
          <w:rFonts w:ascii="仿宋_GB2312" w:eastAsia="仿宋_GB2312"/>
          <w:bCs/>
          <w:sz w:val="32"/>
          <w:szCs w:val="32"/>
        </w:rPr>
        <w:t>0</w:t>
      </w:r>
      <w:r>
        <w:rPr>
          <w:rFonts w:hint="eastAsia" w:ascii="仿宋_GB2312" w:eastAsia="仿宋_GB2312"/>
          <w:bCs/>
          <w:sz w:val="32"/>
          <w:szCs w:val="32"/>
        </w:rPr>
        <w:t>万元，决算数为</w:t>
      </w:r>
      <w:r>
        <w:rPr>
          <w:rFonts w:ascii="仿宋_GB2312" w:eastAsia="仿宋_GB2312"/>
          <w:bCs/>
          <w:sz w:val="32"/>
          <w:szCs w:val="32"/>
        </w:rPr>
        <w:t>0</w:t>
      </w:r>
      <w:r>
        <w:rPr>
          <w:rFonts w:hint="eastAsia" w:ascii="仿宋_GB2312" w:eastAsia="仿宋_GB2312"/>
          <w:bCs/>
          <w:sz w:val="32"/>
          <w:szCs w:val="32"/>
        </w:rPr>
        <w:t>万元，完成预算的</w:t>
      </w:r>
      <w:r>
        <w:rPr>
          <w:rFonts w:ascii="仿宋_GB2312" w:eastAsia="仿宋_GB2312"/>
          <w:bCs/>
          <w:sz w:val="32"/>
          <w:szCs w:val="32"/>
        </w:rPr>
        <w:t>0%</w:t>
      </w:r>
      <w:r>
        <w:rPr>
          <w:rFonts w:hint="eastAsia" w:ascii="仿宋_GB2312" w:eastAsia="仿宋_GB2312"/>
          <w:bCs/>
          <w:sz w:val="32"/>
          <w:szCs w:val="32"/>
        </w:rPr>
        <w:t>，决算数较</w:t>
      </w:r>
      <w:r>
        <w:rPr>
          <w:rFonts w:ascii="仿宋_GB2312" w:eastAsia="仿宋_GB2312"/>
          <w:bCs/>
          <w:sz w:val="32"/>
          <w:szCs w:val="32"/>
        </w:rPr>
        <w:t>2019</w:t>
      </w:r>
      <w:r>
        <w:rPr>
          <w:rFonts w:hint="eastAsia" w:ascii="仿宋_GB2312" w:eastAsia="仿宋_GB2312"/>
          <w:bCs/>
          <w:sz w:val="32"/>
          <w:szCs w:val="32"/>
        </w:rPr>
        <w:t>年增加（减少）</w:t>
      </w:r>
      <w:r>
        <w:rPr>
          <w:rFonts w:ascii="仿宋_GB2312" w:eastAsia="仿宋_GB2312"/>
          <w:bCs/>
          <w:sz w:val="32"/>
          <w:szCs w:val="32"/>
        </w:rPr>
        <w:t>0</w:t>
      </w:r>
      <w:r>
        <w:rPr>
          <w:rFonts w:hint="eastAsia" w:ascii="仿宋_GB2312" w:eastAsia="仿宋_GB2312"/>
          <w:bCs/>
          <w:sz w:val="32"/>
          <w:szCs w:val="32"/>
        </w:rPr>
        <w:t>万元，增长（下降）</w:t>
      </w:r>
      <w:r>
        <w:rPr>
          <w:rFonts w:ascii="仿宋_GB2312" w:eastAsia="仿宋_GB2312"/>
          <w:bCs/>
          <w:sz w:val="32"/>
          <w:szCs w:val="32"/>
        </w:rPr>
        <w:t>0%</w:t>
      </w:r>
      <w:r>
        <w:rPr>
          <w:rFonts w:hint="eastAsia" w:ascii="仿宋_GB2312" w:eastAsia="仿宋_GB2312"/>
          <w:bCs/>
          <w:sz w:val="32"/>
          <w:szCs w:val="32"/>
        </w:rPr>
        <w:t>。决算数较年初预算数增加（减少）的主要原因是：无预算安排。</w:t>
      </w:r>
    </w:p>
    <w:p>
      <w:pPr>
        <w:widowControl/>
        <w:spacing w:line="540" w:lineRule="exact"/>
        <w:ind w:firstLine="803" w:firstLineChars="250"/>
        <w:rPr>
          <w:rFonts w:ascii="仿宋_GB2312" w:eastAsia="仿宋_GB2312"/>
          <w:bCs/>
          <w:sz w:val="32"/>
          <w:szCs w:val="32"/>
        </w:rPr>
      </w:pPr>
      <w:r>
        <w:rPr>
          <w:rFonts w:hint="eastAsia" w:ascii="仿宋_GB2312" w:eastAsia="仿宋_GB2312"/>
          <w:b/>
          <w:sz w:val="32"/>
          <w:szCs w:val="32"/>
        </w:rPr>
        <w:t>（二）</w:t>
      </w:r>
      <w:r>
        <w:rPr>
          <w:rFonts w:hint="eastAsia" w:ascii="仿宋_GB2312" w:eastAsia="仿宋_GB2312"/>
          <w:bCs/>
          <w:sz w:val="32"/>
          <w:szCs w:val="32"/>
        </w:rPr>
        <w:t>公务接待费支出年初预算数为</w:t>
      </w:r>
      <w:r>
        <w:rPr>
          <w:rFonts w:ascii="仿宋_GB2312" w:eastAsia="仿宋_GB2312"/>
          <w:bCs/>
          <w:sz w:val="32"/>
          <w:szCs w:val="32"/>
        </w:rPr>
        <w:t>0</w:t>
      </w:r>
      <w:r>
        <w:rPr>
          <w:rFonts w:hint="eastAsia" w:ascii="仿宋_GB2312" w:eastAsia="仿宋_GB2312"/>
          <w:bCs/>
          <w:sz w:val="32"/>
          <w:szCs w:val="32"/>
        </w:rPr>
        <w:t>万元，决算数为</w:t>
      </w:r>
      <w:r>
        <w:rPr>
          <w:rFonts w:ascii="仿宋_GB2312" w:eastAsia="仿宋_GB2312"/>
          <w:bCs/>
          <w:sz w:val="32"/>
          <w:szCs w:val="32"/>
        </w:rPr>
        <w:t>0</w:t>
      </w:r>
      <w:r>
        <w:rPr>
          <w:rFonts w:hint="eastAsia" w:ascii="仿宋_GB2312" w:eastAsia="仿宋_GB2312"/>
          <w:bCs/>
          <w:sz w:val="32"/>
          <w:szCs w:val="32"/>
        </w:rPr>
        <w:t>万元，完成预算的</w:t>
      </w:r>
      <w:r>
        <w:rPr>
          <w:rFonts w:ascii="仿宋_GB2312" w:eastAsia="仿宋_GB2312"/>
          <w:bCs/>
          <w:sz w:val="32"/>
          <w:szCs w:val="32"/>
        </w:rPr>
        <w:t>0%</w:t>
      </w:r>
      <w:r>
        <w:rPr>
          <w:rFonts w:hint="eastAsia" w:ascii="仿宋_GB2312" w:eastAsia="仿宋_GB2312"/>
          <w:bCs/>
          <w:sz w:val="32"/>
          <w:szCs w:val="32"/>
        </w:rPr>
        <w:t>，决算数较</w:t>
      </w:r>
      <w:r>
        <w:rPr>
          <w:rFonts w:ascii="仿宋_GB2312" w:eastAsia="仿宋_GB2312"/>
          <w:bCs/>
          <w:sz w:val="32"/>
          <w:szCs w:val="32"/>
        </w:rPr>
        <w:t>2019</w:t>
      </w:r>
      <w:r>
        <w:rPr>
          <w:rFonts w:hint="eastAsia" w:ascii="仿宋_GB2312" w:eastAsia="仿宋_GB2312"/>
          <w:bCs/>
          <w:sz w:val="32"/>
          <w:szCs w:val="32"/>
        </w:rPr>
        <w:t>年增加（减少）</w:t>
      </w:r>
      <w:r>
        <w:rPr>
          <w:rFonts w:ascii="仿宋_GB2312" w:eastAsia="仿宋_GB2312"/>
          <w:bCs/>
          <w:sz w:val="32"/>
          <w:szCs w:val="32"/>
        </w:rPr>
        <w:t>0</w:t>
      </w:r>
      <w:r>
        <w:rPr>
          <w:rFonts w:hint="eastAsia" w:ascii="仿宋_GB2312" w:eastAsia="仿宋_GB2312"/>
          <w:bCs/>
          <w:sz w:val="32"/>
          <w:szCs w:val="32"/>
        </w:rPr>
        <w:t>万元，增长（下降）</w:t>
      </w:r>
      <w:r>
        <w:rPr>
          <w:rFonts w:ascii="仿宋_GB2312" w:eastAsia="仿宋_GB2312"/>
          <w:bCs/>
          <w:sz w:val="32"/>
          <w:szCs w:val="32"/>
        </w:rPr>
        <w:t>0%</w:t>
      </w:r>
      <w:r>
        <w:rPr>
          <w:rFonts w:hint="eastAsia" w:ascii="仿宋_GB2312" w:eastAsia="仿宋_GB2312"/>
          <w:bCs/>
          <w:sz w:val="32"/>
          <w:szCs w:val="32"/>
        </w:rPr>
        <w:t>。决算数较年初预算数增加（减少）的主要原因是：无预算安排。</w:t>
      </w:r>
    </w:p>
    <w:p>
      <w:pPr>
        <w:widowControl/>
        <w:spacing w:line="540" w:lineRule="exact"/>
        <w:ind w:firstLine="800" w:firstLineChars="250"/>
        <w:rPr>
          <w:rFonts w:ascii="仿宋_GB2312" w:eastAsia="仿宋_GB2312"/>
          <w:bCs/>
          <w:sz w:val="32"/>
          <w:szCs w:val="32"/>
        </w:rPr>
      </w:pPr>
      <w:r>
        <w:rPr>
          <w:rFonts w:hint="eastAsia" w:ascii="仿宋_GB2312" w:eastAsia="仿宋_GB2312"/>
          <w:sz w:val="32"/>
          <w:szCs w:val="32"/>
        </w:rPr>
        <w:t>（三）公务车辆购置及运行维护费支出</w:t>
      </w:r>
      <w:r>
        <w:rPr>
          <w:rFonts w:ascii="仿宋_GB2312" w:eastAsia="仿宋_GB2312"/>
          <w:sz w:val="32"/>
          <w:szCs w:val="32"/>
        </w:rPr>
        <w:t>0</w:t>
      </w:r>
      <w:r>
        <w:rPr>
          <w:rFonts w:hint="eastAsia" w:ascii="仿宋_GB2312" w:eastAsia="仿宋_GB2312"/>
          <w:sz w:val="32"/>
          <w:szCs w:val="32"/>
        </w:rPr>
        <w:t>万元，其中公务车辆购置年初预算数为</w:t>
      </w:r>
      <w:r>
        <w:rPr>
          <w:rFonts w:ascii="仿宋_GB2312" w:eastAsia="仿宋_GB2312"/>
          <w:sz w:val="32"/>
          <w:szCs w:val="32"/>
        </w:rPr>
        <w:t>0</w:t>
      </w:r>
      <w:r>
        <w:rPr>
          <w:rFonts w:hint="eastAsia" w:ascii="仿宋_GB2312" w:eastAsia="仿宋_GB2312"/>
          <w:sz w:val="32"/>
          <w:szCs w:val="32"/>
        </w:rPr>
        <w:t>万元，决算数为</w:t>
      </w:r>
      <w:r>
        <w:rPr>
          <w:rFonts w:ascii="仿宋_GB2312" w:eastAsia="仿宋_GB2312"/>
          <w:sz w:val="32"/>
          <w:szCs w:val="32"/>
        </w:rPr>
        <w:t>0</w:t>
      </w:r>
      <w:r>
        <w:rPr>
          <w:rFonts w:hint="eastAsia" w:ascii="仿宋_GB2312" w:eastAsia="仿宋_GB2312"/>
          <w:sz w:val="32"/>
          <w:szCs w:val="32"/>
        </w:rPr>
        <w:t>万元，完成预算的</w:t>
      </w:r>
      <w:r>
        <w:rPr>
          <w:rFonts w:ascii="仿宋_GB2312" w:eastAsia="仿宋_GB2312"/>
          <w:sz w:val="32"/>
          <w:szCs w:val="32"/>
        </w:rPr>
        <w:t>0%</w:t>
      </w:r>
      <w:r>
        <w:rPr>
          <w:rFonts w:hint="eastAsia" w:ascii="仿宋_GB2312" w:eastAsia="仿宋_GB2312"/>
          <w:sz w:val="32"/>
          <w:szCs w:val="32"/>
        </w:rPr>
        <w:t>，决算数较</w:t>
      </w:r>
      <w:r>
        <w:rPr>
          <w:rFonts w:ascii="仿宋_GB2312" w:eastAsia="仿宋_GB2312"/>
          <w:sz w:val="32"/>
          <w:szCs w:val="32"/>
        </w:rPr>
        <w:t>2019</w:t>
      </w:r>
      <w:r>
        <w:rPr>
          <w:rFonts w:hint="eastAsia" w:ascii="仿宋_GB2312" w:eastAsia="仿宋_GB2312"/>
          <w:sz w:val="32"/>
          <w:szCs w:val="32"/>
        </w:rPr>
        <w:t>年增加（减少）</w:t>
      </w:r>
      <w:r>
        <w:rPr>
          <w:rFonts w:ascii="仿宋_GB2312" w:eastAsia="仿宋_GB2312"/>
          <w:sz w:val="32"/>
          <w:szCs w:val="32"/>
        </w:rPr>
        <w:t>0</w:t>
      </w:r>
      <w:r>
        <w:rPr>
          <w:rFonts w:hint="eastAsia" w:ascii="仿宋_GB2312" w:eastAsia="仿宋_GB2312"/>
          <w:sz w:val="32"/>
          <w:szCs w:val="32"/>
        </w:rPr>
        <w:t>万元，增长（下降）</w:t>
      </w:r>
      <w:r>
        <w:rPr>
          <w:rFonts w:ascii="仿宋_GB2312" w:eastAsia="仿宋_GB2312"/>
          <w:sz w:val="32"/>
          <w:szCs w:val="32"/>
        </w:rPr>
        <w:t>0%</w:t>
      </w:r>
      <w:r>
        <w:rPr>
          <w:rFonts w:hint="eastAsia" w:ascii="仿宋_GB2312" w:eastAsia="仿宋_GB2312"/>
          <w:sz w:val="32"/>
          <w:szCs w:val="32"/>
        </w:rPr>
        <w:t>。决算数</w:t>
      </w:r>
      <w:r>
        <w:rPr>
          <w:rFonts w:hint="eastAsia" w:ascii="仿宋_GB2312" w:eastAsia="仿宋_GB2312"/>
          <w:bCs/>
          <w:sz w:val="32"/>
          <w:szCs w:val="32"/>
        </w:rPr>
        <w:t>较年初预算数增加（减少）的主要原因是：无预算安排。公务用车运行维护费支出年初预算数为</w:t>
      </w:r>
      <w:r>
        <w:rPr>
          <w:rFonts w:ascii="仿宋_GB2312" w:eastAsia="仿宋_GB2312"/>
          <w:bCs/>
          <w:sz w:val="32"/>
          <w:szCs w:val="32"/>
        </w:rPr>
        <w:t>0</w:t>
      </w:r>
      <w:r>
        <w:rPr>
          <w:rFonts w:hint="eastAsia" w:ascii="仿宋_GB2312" w:eastAsia="仿宋_GB2312"/>
          <w:bCs/>
          <w:sz w:val="32"/>
          <w:szCs w:val="32"/>
        </w:rPr>
        <w:t>万元，决算数为</w:t>
      </w:r>
      <w:r>
        <w:rPr>
          <w:rFonts w:ascii="仿宋_GB2312" w:eastAsia="仿宋_GB2312"/>
          <w:bCs/>
          <w:sz w:val="32"/>
          <w:szCs w:val="32"/>
        </w:rPr>
        <w:t>0</w:t>
      </w:r>
      <w:r>
        <w:rPr>
          <w:rFonts w:hint="eastAsia" w:ascii="仿宋_GB2312" w:eastAsia="仿宋_GB2312"/>
          <w:bCs/>
          <w:sz w:val="32"/>
          <w:szCs w:val="32"/>
        </w:rPr>
        <w:t>万元，完成预算的</w:t>
      </w:r>
      <w:r>
        <w:rPr>
          <w:rFonts w:ascii="仿宋_GB2312" w:eastAsia="仿宋_GB2312"/>
          <w:bCs/>
          <w:sz w:val="32"/>
          <w:szCs w:val="32"/>
        </w:rPr>
        <w:t>0%</w:t>
      </w:r>
      <w:r>
        <w:rPr>
          <w:rFonts w:hint="eastAsia" w:ascii="仿宋_GB2312" w:eastAsia="仿宋_GB2312"/>
          <w:bCs/>
          <w:sz w:val="32"/>
          <w:szCs w:val="32"/>
        </w:rPr>
        <w:t>，决算数较</w:t>
      </w:r>
      <w:r>
        <w:rPr>
          <w:rFonts w:ascii="仿宋_GB2312" w:eastAsia="仿宋_GB2312"/>
          <w:bCs/>
          <w:sz w:val="32"/>
          <w:szCs w:val="32"/>
        </w:rPr>
        <w:t>2019</w:t>
      </w:r>
      <w:r>
        <w:rPr>
          <w:rFonts w:hint="eastAsia" w:ascii="仿宋_GB2312" w:eastAsia="仿宋_GB2312"/>
          <w:bCs/>
          <w:sz w:val="32"/>
          <w:szCs w:val="32"/>
        </w:rPr>
        <w:t>年增加（减</w:t>
      </w:r>
      <w:r>
        <w:rPr>
          <w:rFonts w:hint="eastAsia" w:ascii="仿宋_GB2312" w:eastAsia="仿宋_GB2312"/>
          <w:sz w:val="32"/>
          <w:szCs w:val="32"/>
        </w:rPr>
        <w:t>少）</w:t>
      </w:r>
      <w:r>
        <w:rPr>
          <w:rFonts w:ascii="仿宋_GB2312" w:eastAsia="仿宋_GB2312"/>
          <w:sz w:val="32"/>
          <w:szCs w:val="32"/>
        </w:rPr>
        <w:t>0</w:t>
      </w:r>
      <w:r>
        <w:rPr>
          <w:rFonts w:hint="eastAsia" w:ascii="仿宋_GB2312" w:eastAsia="仿宋_GB2312"/>
          <w:sz w:val="32"/>
          <w:szCs w:val="32"/>
        </w:rPr>
        <w:t>万元，增长（下降）</w:t>
      </w:r>
      <w:r>
        <w:rPr>
          <w:rFonts w:ascii="仿宋_GB2312" w:eastAsia="仿宋_GB2312"/>
          <w:sz w:val="32"/>
          <w:szCs w:val="32"/>
        </w:rPr>
        <w:t>0%</w:t>
      </w:r>
      <w:r>
        <w:rPr>
          <w:rFonts w:hint="eastAsia" w:ascii="仿宋_GB2312" w:eastAsia="仿宋_GB2312"/>
          <w:sz w:val="32"/>
          <w:szCs w:val="32"/>
        </w:rPr>
        <w:t>。</w:t>
      </w:r>
      <w:r>
        <w:rPr>
          <w:rFonts w:hint="eastAsia" w:ascii="仿宋_GB2312" w:eastAsia="仿宋_GB2312"/>
          <w:bCs/>
          <w:sz w:val="32"/>
          <w:szCs w:val="32"/>
        </w:rPr>
        <w:t>决算数较年初预算数增加（减少）的主要原因是：无预算安排。</w:t>
      </w:r>
    </w:p>
    <w:p>
      <w:pPr>
        <w:widowControl/>
        <w:spacing w:line="540" w:lineRule="exact"/>
        <w:ind w:firstLine="803" w:firstLineChars="250"/>
        <w:rPr>
          <w:rFonts w:ascii="仿宋_GB2312" w:eastAsia="仿宋_GB2312"/>
          <w:b/>
          <w:bCs/>
          <w:sz w:val="32"/>
          <w:szCs w:val="32"/>
        </w:rPr>
      </w:pPr>
      <w:r>
        <w:rPr>
          <w:rFonts w:hint="eastAsia" w:ascii="仿宋_GB2312" w:eastAsia="仿宋_GB2312"/>
          <w:b/>
          <w:bCs/>
          <w:sz w:val="32"/>
          <w:szCs w:val="32"/>
        </w:rPr>
        <w:t>（六）机关运行经费支出情况说明</w:t>
      </w:r>
    </w:p>
    <w:p>
      <w:pPr>
        <w:widowControl/>
        <w:spacing w:line="540" w:lineRule="exact"/>
        <w:ind w:firstLine="800" w:firstLineChars="250"/>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2020</w:t>
      </w:r>
      <w:r>
        <w:rPr>
          <w:rFonts w:hint="eastAsia" w:ascii="仿宋_GB2312" w:eastAsia="仿宋_GB2312"/>
          <w:sz w:val="32"/>
          <w:szCs w:val="32"/>
        </w:rPr>
        <w:t>年度机关运行经费支出</w:t>
      </w:r>
      <w:r>
        <w:rPr>
          <w:rFonts w:ascii="仿宋_GB2312" w:eastAsia="仿宋_GB2312"/>
          <w:sz w:val="32"/>
          <w:szCs w:val="32"/>
        </w:rPr>
        <w:t xml:space="preserve"> 17.54</w:t>
      </w:r>
      <w:r>
        <w:rPr>
          <w:rFonts w:hint="eastAsia" w:ascii="仿宋_GB2312" w:eastAsia="仿宋_GB2312"/>
          <w:sz w:val="32"/>
          <w:szCs w:val="32"/>
        </w:rPr>
        <w:t>万元（事业单位一般公共预算财政拨款基本支出中商品和服务支出保持一致）</w:t>
      </w:r>
    </w:p>
    <w:p>
      <w:pPr>
        <w:widowControl/>
        <w:spacing w:line="540" w:lineRule="exact"/>
        <w:ind w:firstLine="803" w:firstLineChars="250"/>
        <w:rPr>
          <w:rFonts w:ascii="仿宋_GB2312" w:eastAsia="仿宋_GB2312"/>
          <w:b/>
          <w:bCs/>
          <w:sz w:val="32"/>
          <w:szCs w:val="32"/>
        </w:rPr>
      </w:pPr>
      <w:r>
        <w:rPr>
          <w:rFonts w:hint="eastAsia" w:ascii="仿宋_GB2312" w:eastAsia="仿宋_GB2312"/>
          <w:b/>
          <w:bCs/>
          <w:sz w:val="32"/>
          <w:szCs w:val="32"/>
        </w:rPr>
        <w:t>（七）政府采购预算说明</w:t>
      </w:r>
    </w:p>
    <w:p>
      <w:pPr>
        <w:widowControl/>
        <w:spacing w:line="540" w:lineRule="exact"/>
        <w:ind w:firstLine="800" w:firstLineChars="2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年西湖区环卫清运公司政府采购预算共安排</w:t>
      </w:r>
      <w:r>
        <w:rPr>
          <w:rFonts w:ascii="仿宋_GB2312" w:eastAsia="仿宋_GB2312"/>
          <w:sz w:val="32"/>
          <w:szCs w:val="32"/>
        </w:rPr>
        <w:t>0</w:t>
      </w:r>
      <w:r>
        <w:rPr>
          <w:rFonts w:hint="eastAsia" w:ascii="仿宋_GB2312" w:eastAsia="仿宋_GB2312"/>
          <w:sz w:val="32"/>
          <w:szCs w:val="32"/>
        </w:rPr>
        <w:t>万元。其中：政府采购货物支出</w:t>
      </w:r>
      <w:r>
        <w:rPr>
          <w:rFonts w:ascii="仿宋_GB2312" w:eastAsia="仿宋_GB2312"/>
          <w:sz w:val="32"/>
          <w:szCs w:val="32"/>
        </w:rPr>
        <w:t xml:space="preserve"> 0 </w:t>
      </w:r>
      <w:r>
        <w:rPr>
          <w:rFonts w:hint="eastAsia" w:ascii="仿宋_GB2312" w:eastAsia="仿宋_GB2312"/>
          <w:sz w:val="32"/>
          <w:szCs w:val="32"/>
        </w:rPr>
        <w:t>万元、政府采购工程支出</w:t>
      </w:r>
      <w:r>
        <w:rPr>
          <w:rFonts w:ascii="仿宋_GB2312" w:eastAsia="仿宋_GB2312"/>
          <w:sz w:val="32"/>
          <w:szCs w:val="32"/>
        </w:rPr>
        <w:t xml:space="preserve"> 0 </w:t>
      </w:r>
      <w:r>
        <w:rPr>
          <w:rFonts w:hint="eastAsia" w:ascii="仿宋_GB2312" w:eastAsia="仿宋_GB2312"/>
          <w:sz w:val="32"/>
          <w:szCs w:val="32"/>
        </w:rPr>
        <w:t>万元、政府采购服务支出</w:t>
      </w:r>
      <w:r>
        <w:rPr>
          <w:rFonts w:ascii="仿宋_GB2312" w:eastAsia="仿宋_GB2312"/>
          <w:sz w:val="32"/>
          <w:szCs w:val="32"/>
        </w:rPr>
        <w:t xml:space="preserve"> 0</w:t>
      </w:r>
      <w:r>
        <w:rPr>
          <w:rFonts w:hint="eastAsia" w:ascii="仿宋_GB2312" w:eastAsia="仿宋_GB2312"/>
          <w:sz w:val="32"/>
          <w:szCs w:val="32"/>
        </w:rPr>
        <w:t>万元。</w:t>
      </w:r>
    </w:p>
    <w:p>
      <w:pPr>
        <w:widowControl/>
        <w:spacing w:line="540" w:lineRule="exact"/>
        <w:ind w:firstLine="803" w:firstLineChars="250"/>
        <w:rPr>
          <w:rFonts w:ascii="仿宋_GB2312" w:eastAsia="仿宋_GB2312"/>
          <w:b/>
          <w:bCs/>
          <w:sz w:val="32"/>
          <w:szCs w:val="32"/>
        </w:rPr>
      </w:pPr>
      <w:r>
        <w:rPr>
          <w:rFonts w:hint="eastAsia" w:ascii="仿宋_GB2312" w:eastAsia="仿宋_GB2312"/>
          <w:b/>
          <w:bCs/>
          <w:sz w:val="32"/>
          <w:szCs w:val="32"/>
        </w:rPr>
        <w:t>（八）国有资产占有使用情况</w:t>
      </w:r>
    </w:p>
    <w:p>
      <w:pPr>
        <w:widowControl/>
        <w:spacing w:line="540" w:lineRule="exact"/>
        <w:ind w:firstLine="800" w:firstLineChars="250"/>
        <w:rPr>
          <w:rFonts w:ascii="仿宋_GB2312" w:eastAsia="仿宋_GB2312"/>
          <w:sz w:val="32"/>
          <w:szCs w:val="32"/>
        </w:rPr>
      </w:pPr>
      <w:r>
        <w:rPr>
          <w:rFonts w:hint="eastAsia" w:ascii="仿宋_GB2312" w:eastAsia="仿宋_GB2312"/>
          <w:sz w:val="32"/>
          <w:szCs w:val="32"/>
        </w:rPr>
        <w:t>截止</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日，西湖区环卫清运共有车辆</w:t>
      </w:r>
      <w:r>
        <w:rPr>
          <w:rFonts w:ascii="仿宋_GB2312" w:eastAsia="仿宋_GB2312"/>
          <w:sz w:val="32"/>
          <w:szCs w:val="32"/>
        </w:rPr>
        <w:t>0</w:t>
      </w:r>
      <w:r>
        <w:rPr>
          <w:rFonts w:hint="eastAsia" w:ascii="仿宋_GB2312" w:eastAsia="仿宋_GB2312"/>
          <w:sz w:val="32"/>
          <w:szCs w:val="32"/>
        </w:rPr>
        <w:t>辆。</w:t>
      </w:r>
    </w:p>
    <w:p>
      <w:pPr>
        <w:widowControl/>
        <w:spacing w:line="540" w:lineRule="exact"/>
        <w:ind w:firstLine="800" w:firstLineChars="2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年部门预算安排购置车辆</w:t>
      </w:r>
      <w:r>
        <w:rPr>
          <w:rFonts w:ascii="仿宋_GB2312" w:eastAsia="仿宋_GB2312"/>
          <w:sz w:val="32"/>
          <w:szCs w:val="32"/>
        </w:rPr>
        <w:t>0</w:t>
      </w:r>
      <w:r>
        <w:rPr>
          <w:rFonts w:hint="eastAsia" w:ascii="仿宋_GB2312" w:eastAsia="仿宋_GB2312"/>
          <w:sz w:val="32"/>
          <w:szCs w:val="32"/>
        </w:rPr>
        <w:t>辆，安排购置单位价值</w:t>
      </w:r>
      <w:r>
        <w:rPr>
          <w:rFonts w:ascii="仿宋_GB2312" w:eastAsia="仿宋_GB2312"/>
          <w:sz w:val="32"/>
          <w:szCs w:val="32"/>
        </w:rPr>
        <w:t>200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万元。</w:t>
      </w:r>
    </w:p>
    <w:p>
      <w:pPr>
        <w:widowControl/>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（九）预算绩效情况说明</w:t>
      </w:r>
    </w:p>
    <w:p>
      <w:pPr>
        <w:widowControl/>
        <w:spacing w:line="540" w:lineRule="exact"/>
        <w:ind w:firstLine="800" w:firstLineChars="250"/>
        <w:rPr>
          <w:rFonts w:ascii="仿宋_GB2312" w:eastAsia="仿宋_GB2312"/>
          <w:sz w:val="32"/>
          <w:szCs w:val="32"/>
        </w:rPr>
      </w:pPr>
    </w:p>
    <w:p>
      <w:pPr>
        <w:widowControl/>
        <w:spacing w:line="360" w:lineRule="auto"/>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一、绩效评价工作开展情况</w:t>
      </w:r>
    </w:p>
    <w:p>
      <w:pPr>
        <w:widowControl/>
        <w:spacing w:line="360" w:lineRule="auto"/>
        <w:jc w:val="left"/>
        <w:rPr>
          <w:rFonts w:ascii="楷体" w:hAnsi="楷体" w:eastAsia="楷体" w:cs="楷体"/>
          <w:bCs/>
          <w:color w:val="000000"/>
          <w:sz w:val="32"/>
          <w:szCs w:val="32"/>
        </w:rPr>
      </w:pPr>
      <w:r>
        <w:rPr>
          <w:rFonts w:hint="eastAsia" w:ascii="仿宋" w:hAnsi="仿宋" w:eastAsia="仿宋" w:cs="仿宋"/>
          <w:b/>
          <w:color w:val="000000"/>
          <w:sz w:val="32"/>
          <w:szCs w:val="32"/>
        </w:rPr>
        <w:t xml:space="preserve">   </w:t>
      </w:r>
      <w:r>
        <w:rPr>
          <w:rFonts w:hint="eastAsia" w:ascii="楷体" w:hAnsi="楷体" w:eastAsia="楷体" w:cs="楷体"/>
          <w:bCs/>
          <w:color w:val="000000"/>
          <w:sz w:val="32"/>
          <w:szCs w:val="32"/>
        </w:rPr>
        <w:t>（一）绩效评价目的、对象和范围</w:t>
      </w:r>
    </w:p>
    <w:p>
      <w:pPr>
        <w:spacing w:line="360" w:lineRule="auto"/>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财政支出绩效评价是指从深化部门预算改革和加强预算绩效管理的实际需要出发，通过科学合理的方法，客观公正地评价财政资金使用的规范性、经济性、效率性和效益性，是强化部门预算支出责任、改善财政支出管理、优化资源配置以及提高公共服务水平的重要手段。</w:t>
      </w:r>
    </w:p>
    <w:p>
      <w:pPr>
        <w:spacing w:line="360" w:lineRule="auto"/>
        <w:ind w:firstLine="561"/>
        <w:jc w:val="left"/>
        <w:rPr>
          <w:rFonts w:ascii="仿宋" w:hAnsi="仿宋" w:eastAsia="仿宋" w:cs="仿宋"/>
          <w:color w:val="000000"/>
          <w:sz w:val="32"/>
          <w:szCs w:val="32"/>
        </w:rPr>
      </w:pPr>
      <w:r>
        <w:rPr>
          <w:rFonts w:hint="eastAsia" w:ascii="仿宋" w:hAnsi="仿宋" w:eastAsia="仿宋" w:cs="仿宋"/>
          <w:color w:val="000000"/>
          <w:sz w:val="32"/>
          <w:szCs w:val="32"/>
        </w:rPr>
        <w:t>开展2020年度垃圾中转站和垃圾清运经费绩效评价的目的，是要通过对该项目当年各项绩效目标完成情况的综合评分，客观公正地评价项目的实施绩效，并积极推动我局预算绩效管理工作的全面深入有效开展。</w:t>
      </w:r>
    </w:p>
    <w:p>
      <w:pPr>
        <w:spacing w:line="360" w:lineRule="auto"/>
        <w:jc w:val="left"/>
        <w:rPr>
          <w:rFonts w:ascii="楷体" w:hAnsi="楷体" w:eastAsia="楷体" w:cs="楷体"/>
          <w:color w:val="000000"/>
          <w:sz w:val="32"/>
          <w:szCs w:val="32"/>
        </w:rPr>
      </w:pPr>
      <w:r>
        <w:rPr>
          <w:rFonts w:hint="eastAsia" w:ascii="仿宋" w:hAnsi="仿宋" w:eastAsia="仿宋" w:cs="仿宋"/>
          <w:b/>
          <w:bCs/>
          <w:color w:val="000000"/>
          <w:sz w:val="32"/>
          <w:szCs w:val="32"/>
        </w:rPr>
        <w:t xml:space="preserve">   </w:t>
      </w:r>
      <w:r>
        <w:rPr>
          <w:rFonts w:hint="eastAsia" w:ascii="楷体" w:hAnsi="楷体" w:eastAsia="楷体" w:cs="楷体"/>
          <w:color w:val="000000"/>
          <w:sz w:val="32"/>
          <w:szCs w:val="32"/>
        </w:rPr>
        <w:t>（二）绩效评价原则、评价指标体系、评价方法和评价标准</w:t>
      </w:r>
    </w:p>
    <w:p>
      <w:pPr>
        <w:spacing w:line="360" w:lineRule="auto"/>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1.绩效评价原则</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2020年度垃圾中转站和垃圾清运经费绩效评价遵循以下基本原则：</w:t>
      </w:r>
    </w:p>
    <w:p>
      <w:p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 xml:space="preserve">   （1）科学规范原则。绩效评价严格执行规定的程序，按照科学可行的要求，采用定量与定性分析相结合的方法。</w:t>
      </w:r>
    </w:p>
    <w:p>
      <w:p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 xml:space="preserve">   （2）公正公开原则。绩效评价符合真实、客观、公正的要求，依法公开并接受监督。</w:t>
      </w:r>
    </w:p>
    <w:p>
      <w:p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 xml:space="preserve">   （3）绩效相关原则。绩效评价针对具体支出及其产出绩效进行，评价结果清晰反映支出和产出绩效之间的紧密对应关系。</w:t>
      </w:r>
      <w:bookmarkStart w:id="0" w:name="_Toc14548"/>
    </w:p>
    <w:bookmarkEnd w:id="0"/>
    <w:p>
      <w:pPr>
        <w:spacing w:line="360" w:lineRule="auto"/>
        <w:ind w:firstLine="643" w:firstLineChars="200"/>
        <w:jc w:val="left"/>
        <w:rPr>
          <w:rFonts w:ascii="仿宋" w:hAnsi="仿宋" w:eastAsia="仿宋" w:cs="仿宋"/>
          <w:b/>
          <w:color w:val="000000"/>
          <w:sz w:val="32"/>
          <w:szCs w:val="32"/>
        </w:rPr>
      </w:pPr>
      <w:bookmarkStart w:id="1" w:name="_Toc4173"/>
      <w:r>
        <w:rPr>
          <w:rFonts w:hint="eastAsia" w:ascii="仿宋" w:hAnsi="仿宋" w:eastAsia="仿宋" w:cs="仿宋"/>
          <w:b/>
          <w:color w:val="000000"/>
          <w:sz w:val="32"/>
          <w:szCs w:val="32"/>
        </w:rPr>
        <w:t>2.评价指标体系</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根据财政制定的绩效评价指标体系框架，围绕垃圾中转站管护和垃圾清运工作的主要内容，</w:t>
      </w:r>
      <w:r>
        <w:rPr>
          <w:rFonts w:hint="eastAsia" w:ascii="仿宋" w:hAnsi="仿宋" w:eastAsia="仿宋" w:cs="仿宋"/>
          <w:color w:val="000000"/>
          <w:kern w:val="0"/>
          <w:sz w:val="32"/>
          <w:szCs w:val="32"/>
        </w:rPr>
        <w:t>我们</w:t>
      </w:r>
      <w:r>
        <w:rPr>
          <w:rFonts w:hint="eastAsia" w:ascii="仿宋" w:hAnsi="仿宋" w:eastAsia="仿宋" w:cs="仿宋"/>
          <w:color w:val="000000"/>
          <w:sz w:val="32"/>
          <w:szCs w:val="32"/>
        </w:rPr>
        <w:t>构建了项目</w:t>
      </w:r>
      <w:r>
        <w:rPr>
          <w:rFonts w:hint="eastAsia" w:ascii="仿宋" w:hAnsi="仿宋" w:eastAsia="仿宋" w:cs="仿宋"/>
          <w:bCs/>
          <w:color w:val="000000"/>
          <w:sz w:val="32"/>
          <w:szCs w:val="32"/>
        </w:rPr>
        <w:t>绩效评价表，</w:t>
      </w:r>
      <w:r>
        <w:rPr>
          <w:rFonts w:hint="eastAsia" w:ascii="仿宋" w:hAnsi="仿宋" w:eastAsia="仿宋" w:cs="仿宋"/>
          <w:color w:val="000000"/>
          <w:sz w:val="32"/>
          <w:szCs w:val="32"/>
        </w:rPr>
        <w:t>评价体系包括项目资金（预算执行率），产出指标（数量指标、质量指标、时效指标、成本指标），效益指标（社会效益指标、生态效益指标和可持续影响指标），满意度指标（社会公众满意度）。具体详见“项目支出绩效自评表”。</w:t>
      </w:r>
    </w:p>
    <w:p>
      <w:pPr>
        <w:pStyle w:val="14"/>
        <w:spacing w:line="360" w:lineRule="auto"/>
        <w:ind w:firstLine="0" w:firstLineChars="0"/>
        <w:rPr>
          <w:rFonts w:ascii="仿宋" w:hAnsi="仿宋" w:eastAsia="仿宋" w:cs="仿宋"/>
          <w:color w:val="000000"/>
          <w:sz w:val="32"/>
          <w:szCs w:val="32"/>
        </w:rPr>
      </w:pPr>
      <w:r>
        <w:rPr>
          <w:rFonts w:hint="eastAsia" w:ascii="仿宋" w:hAnsi="仿宋" w:eastAsia="仿宋" w:cs="仿宋"/>
          <w:color w:val="000000"/>
          <w:sz w:val="32"/>
          <w:szCs w:val="32"/>
        </w:rPr>
        <w:t xml:space="preserve">   （1）项目资金：分值10分，用于考核项目的预算执行情况。</w:t>
      </w:r>
    </w:p>
    <w:p>
      <w:pPr>
        <w:pStyle w:val="14"/>
        <w:spacing w:line="360" w:lineRule="auto"/>
        <w:ind w:firstLine="0" w:firstLineChars="0"/>
        <w:rPr>
          <w:rFonts w:ascii="仿宋" w:hAnsi="仿宋" w:eastAsia="仿宋" w:cs="仿宋"/>
          <w:color w:val="000000"/>
          <w:sz w:val="32"/>
          <w:szCs w:val="32"/>
        </w:rPr>
      </w:pPr>
      <w:r>
        <w:rPr>
          <w:rFonts w:hint="eastAsia" w:ascii="仿宋" w:hAnsi="仿宋" w:eastAsia="仿宋" w:cs="仿宋"/>
          <w:color w:val="000000"/>
          <w:sz w:val="32"/>
          <w:szCs w:val="32"/>
        </w:rPr>
        <w:t xml:space="preserve">   （2）产出指标：分值50分，分为数量指标(20分)、质量指标(15分)、时效指标(5分)和成本指标(10分)四项二级指标。</w:t>
      </w:r>
    </w:p>
    <w:p>
      <w:pPr>
        <w:pStyle w:val="14"/>
        <w:spacing w:line="360" w:lineRule="auto"/>
        <w:ind w:firstLine="0" w:firstLineChars="0"/>
        <w:rPr>
          <w:rFonts w:ascii="仿宋" w:hAnsi="仿宋" w:eastAsia="仿宋" w:cs="仿宋"/>
          <w:color w:val="000000"/>
          <w:sz w:val="32"/>
          <w:szCs w:val="32"/>
        </w:rPr>
      </w:pPr>
      <w:r>
        <w:rPr>
          <w:rFonts w:hint="eastAsia" w:ascii="仿宋" w:hAnsi="仿宋" w:eastAsia="仿宋" w:cs="仿宋"/>
          <w:color w:val="000000"/>
          <w:sz w:val="32"/>
          <w:szCs w:val="32"/>
        </w:rPr>
        <w:t xml:space="preserve">   （3）效益指标：分值30分，分为社会效益指标(10分)、生态效益指标(10分)和可持续影响指标(10分)三项二级指标。</w:t>
      </w:r>
    </w:p>
    <w:p>
      <w:pPr>
        <w:pStyle w:val="14"/>
        <w:spacing w:line="360" w:lineRule="auto"/>
        <w:ind w:firstLine="0" w:firstLineChars="0"/>
        <w:rPr>
          <w:rFonts w:ascii="仿宋" w:hAnsi="仿宋" w:eastAsia="仿宋" w:cs="仿宋"/>
          <w:color w:val="000000"/>
          <w:sz w:val="32"/>
          <w:szCs w:val="32"/>
        </w:rPr>
      </w:pPr>
      <w:r>
        <w:rPr>
          <w:rFonts w:hint="eastAsia" w:ascii="仿宋" w:hAnsi="仿宋" w:eastAsia="仿宋" w:cs="仿宋"/>
          <w:color w:val="000000"/>
          <w:sz w:val="32"/>
          <w:szCs w:val="32"/>
        </w:rPr>
        <w:t xml:space="preserve">   （4）满意度指标：分值10分，为社会公众满意度(10分)一项二级指标。</w:t>
      </w:r>
    </w:p>
    <w:bookmarkEnd w:id="1"/>
    <w:p>
      <w:pPr>
        <w:pStyle w:val="3"/>
        <w:spacing w:line="360" w:lineRule="auto"/>
        <w:ind w:left="0" w:leftChars="0" w:firstLine="643" w:firstLineChars="200"/>
        <w:rPr>
          <w:rFonts w:ascii="仿宋" w:hAnsi="仿宋" w:eastAsia="仿宋" w:cs="仿宋"/>
          <w:color w:val="000000"/>
          <w:sz w:val="32"/>
          <w:szCs w:val="32"/>
        </w:rPr>
      </w:pPr>
      <w:bookmarkStart w:id="2" w:name="_Toc17890"/>
      <w:bookmarkStart w:id="3" w:name="_Toc32614"/>
      <w:r>
        <w:rPr>
          <w:rFonts w:hint="eastAsia" w:ascii="仿宋" w:hAnsi="仿宋" w:eastAsia="仿宋" w:cs="仿宋"/>
          <w:color w:val="000000"/>
          <w:sz w:val="32"/>
          <w:szCs w:val="32"/>
        </w:rPr>
        <w:t>3.评价方法</w:t>
      </w:r>
      <w:bookmarkEnd w:id="2"/>
      <w:bookmarkEnd w:id="3"/>
      <w:r>
        <w:rPr>
          <w:rFonts w:hint="eastAsia" w:ascii="仿宋" w:hAnsi="仿宋" w:eastAsia="仿宋" w:cs="仿宋"/>
          <w:color w:val="000000"/>
          <w:sz w:val="32"/>
          <w:szCs w:val="32"/>
        </w:rPr>
        <w:t>和评价标准</w:t>
      </w:r>
    </w:p>
    <w:p>
      <w:pPr>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sz w:val="32"/>
          <w:szCs w:val="32"/>
        </w:rPr>
        <w:t>2020年度垃圾中转站和垃圾清运经费</w:t>
      </w:r>
      <w:r>
        <w:rPr>
          <w:rFonts w:hint="eastAsia" w:ascii="仿宋" w:hAnsi="仿宋" w:eastAsia="仿宋" w:cs="仿宋"/>
          <w:bCs/>
          <w:color w:val="000000"/>
          <w:sz w:val="32"/>
          <w:szCs w:val="32"/>
        </w:rPr>
        <w:t>绩效评价</w:t>
      </w:r>
      <w:r>
        <w:rPr>
          <w:rFonts w:hint="eastAsia" w:ascii="仿宋" w:hAnsi="仿宋" w:eastAsia="仿宋" w:cs="仿宋"/>
          <w:color w:val="000000"/>
          <w:sz w:val="32"/>
          <w:szCs w:val="32"/>
        </w:rPr>
        <w:t>采用目标管理评价法，即根据该项目当年的绩效目标和目标值，从定量和定性两方面对项目支出绩效进行评分和评价。</w:t>
      </w:r>
    </w:p>
    <w:p>
      <w:pPr>
        <w:spacing w:line="360" w:lineRule="auto"/>
        <w:jc w:val="left"/>
        <w:rPr>
          <w:rFonts w:ascii="楷体" w:hAnsi="楷体" w:eastAsia="楷体" w:cs="楷体"/>
          <w:bCs/>
          <w:color w:val="000000"/>
          <w:sz w:val="32"/>
          <w:szCs w:val="32"/>
        </w:rPr>
      </w:pPr>
      <w:r>
        <w:rPr>
          <w:rFonts w:hint="eastAsia" w:ascii="仿宋" w:hAnsi="仿宋" w:eastAsia="仿宋" w:cs="仿宋"/>
          <w:bCs/>
          <w:color w:val="000000"/>
          <w:kern w:val="0"/>
          <w:sz w:val="32"/>
          <w:szCs w:val="32"/>
        </w:rPr>
        <w:t xml:space="preserve">  </w:t>
      </w:r>
      <w:r>
        <w:rPr>
          <w:rFonts w:hint="eastAsia" w:ascii="楷体" w:hAnsi="楷体" w:eastAsia="楷体" w:cs="楷体"/>
          <w:bCs/>
          <w:color w:val="000000"/>
          <w:kern w:val="0"/>
          <w:sz w:val="32"/>
          <w:szCs w:val="32"/>
        </w:rPr>
        <w:t xml:space="preserve"> （三）</w:t>
      </w:r>
      <w:r>
        <w:rPr>
          <w:rFonts w:hint="eastAsia" w:ascii="楷体" w:hAnsi="楷体" w:eastAsia="楷体" w:cs="楷体"/>
          <w:bCs/>
          <w:color w:val="000000"/>
          <w:sz w:val="32"/>
          <w:szCs w:val="32"/>
        </w:rPr>
        <w:t>绩效评价工作过程</w:t>
      </w:r>
    </w:p>
    <w:p>
      <w:pPr>
        <w:widowControl/>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根据</w:t>
      </w:r>
      <w:r>
        <w:rPr>
          <w:rFonts w:hint="eastAsia" w:ascii="仿宋" w:hAnsi="仿宋" w:eastAsia="仿宋" w:cs="仿宋"/>
          <w:color w:val="000000"/>
          <w:sz w:val="32"/>
          <w:szCs w:val="32"/>
        </w:rPr>
        <w:t>《西湖区财政局关于开展2020年度区级部门财政项目支出绩效评价工作的通知》</w:t>
      </w:r>
      <w:r>
        <w:rPr>
          <w:rFonts w:hint="eastAsia" w:ascii="仿宋" w:hAnsi="仿宋" w:eastAsia="仿宋" w:cs="仿宋"/>
          <w:bCs/>
          <w:color w:val="000000"/>
          <w:kern w:val="0"/>
          <w:sz w:val="32"/>
          <w:szCs w:val="32"/>
        </w:rPr>
        <w:t>（西财字[2020]21号）文件要求，我局成立了由主要领导和项目负责人组成的西湖区城管局2020年度财政项目支出绩效评价工作小组。</w:t>
      </w:r>
      <w:r>
        <w:rPr>
          <w:rFonts w:hint="eastAsia" w:ascii="仿宋" w:hAnsi="仿宋" w:eastAsia="仿宋" w:cs="仿宋"/>
          <w:color w:val="000000"/>
          <w:kern w:val="0"/>
          <w:sz w:val="32"/>
          <w:szCs w:val="32"/>
        </w:rPr>
        <w:t>参考财政制定的</w:t>
      </w:r>
      <w:r>
        <w:rPr>
          <w:rFonts w:hint="eastAsia" w:ascii="仿宋" w:hAnsi="仿宋" w:eastAsia="仿宋" w:cs="仿宋"/>
          <w:color w:val="000000"/>
          <w:sz w:val="32"/>
          <w:szCs w:val="32"/>
        </w:rPr>
        <w:t>绩效评价指标体系框架，</w:t>
      </w:r>
      <w:r>
        <w:rPr>
          <w:rFonts w:hint="eastAsia" w:ascii="仿宋" w:hAnsi="仿宋" w:eastAsia="仿宋" w:cs="仿宋"/>
          <w:color w:val="000000"/>
          <w:kern w:val="0"/>
          <w:sz w:val="32"/>
          <w:szCs w:val="32"/>
        </w:rPr>
        <w:t>我们</w:t>
      </w:r>
      <w:r>
        <w:rPr>
          <w:rFonts w:hint="eastAsia" w:ascii="仿宋" w:hAnsi="仿宋" w:eastAsia="仿宋" w:cs="仿宋"/>
          <w:color w:val="000000"/>
          <w:sz w:val="32"/>
          <w:szCs w:val="32"/>
        </w:rPr>
        <w:t>构建了较为完善的项目支出</w:t>
      </w:r>
      <w:r>
        <w:rPr>
          <w:rFonts w:hint="eastAsia" w:ascii="仿宋" w:hAnsi="仿宋" w:eastAsia="仿宋" w:cs="仿宋"/>
          <w:color w:val="000000"/>
          <w:kern w:val="0"/>
          <w:sz w:val="32"/>
          <w:szCs w:val="32"/>
        </w:rPr>
        <w:t>绩效评价表，围绕各项绩效指标的年度目标值，工作小组认真核查相关资料，逐项严格评分，认真完成</w:t>
      </w:r>
      <w:r>
        <w:rPr>
          <w:rFonts w:hint="eastAsia" w:ascii="仿宋" w:hAnsi="仿宋" w:eastAsia="仿宋" w:cs="仿宋"/>
          <w:bCs/>
          <w:color w:val="000000"/>
          <w:kern w:val="0"/>
          <w:sz w:val="32"/>
          <w:szCs w:val="32"/>
        </w:rPr>
        <w:t>项目</w:t>
      </w:r>
      <w:r>
        <w:rPr>
          <w:rFonts w:hint="eastAsia" w:ascii="仿宋" w:hAnsi="仿宋" w:eastAsia="仿宋" w:cs="仿宋"/>
          <w:color w:val="000000"/>
          <w:kern w:val="0"/>
          <w:sz w:val="32"/>
          <w:szCs w:val="32"/>
        </w:rPr>
        <w:t>绩效自评报告，评价结果力求客观、公正、全面地反映我局2020年度</w:t>
      </w:r>
      <w:r>
        <w:rPr>
          <w:rFonts w:hint="eastAsia" w:ascii="仿宋" w:hAnsi="仿宋" w:eastAsia="仿宋" w:cs="仿宋"/>
          <w:color w:val="000000"/>
          <w:sz w:val="32"/>
          <w:szCs w:val="32"/>
        </w:rPr>
        <w:t>财政项目支出</w:t>
      </w:r>
      <w:r>
        <w:rPr>
          <w:rFonts w:hint="eastAsia" w:ascii="仿宋" w:hAnsi="仿宋" w:eastAsia="仿宋" w:cs="仿宋"/>
          <w:color w:val="000000"/>
          <w:kern w:val="0"/>
          <w:sz w:val="32"/>
          <w:szCs w:val="32"/>
        </w:rPr>
        <w:t>的实际绩效。</w:t>
      </w:r>
    </w:p>
    <w:p>
      <w:pPr>
        <w:spacing w:line="360" w:lineRule="auto"/>
        <w:jc w:val="left"/>
        <w:rPr>
          <w:rFonts w:ascii="楷体" w:hAnsi="楷体" w:eastAsia="楷体" w:cs="楷体"/>
          <w:bCs/>
          <w:color w:val="000000"/>
          <w:kern w:val="0"/>
          <w:sz w:val="32"/>
          <w:szCs w:val="32"/>
        </w:rPr>
      </w:pPr>
      <w:r>
        <w:rPr>
          <w:rFonts w:hint="eastAsia" w:ascii="黑体" w:hAnsi="黑体" w:eastAsia="黑体" w:cs="黑体"/>
          <w:bCs/>
          <w:color w:val="000000"/>
          <w:kern w:val="0"/>
          <w:sz w:val="32"/>
          <w:szCs w:val="32"/>
        </w:rPr>
        <w:t>二、部门决算中项目绩效自评结果</w:t>
      </w:r>
      <w:bookmarkStart w:id="4" w:name="_GoBack"/>
      <w:bookmarkEnd w:id="4"/>
    </w:p>
    <w:tbl>
      <w:tblPr>
        <w:tblStyle w:val="8"/>
        <w:tblpPr w:leftFromText="180" w:rightFromText="180" w:vertAnchor="text" w:horzAnchor="page" w:tblpX="1092" w:tblpY="283"/>
        <w:tblOverlap w:val="never"/>
        <w:tblW w:w="9907"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0"/>
                <w:szCs w:val="30"/>
              </w:rPr>
              <w:t>项目支出绩效评价表</w:t>
            </w: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（2020年度）</w:t>
            </w:r>
          </w:p>
        </w:tc>
      </w:tr>
      <w:tr>
        <w:tblPrEx>
          <w:tblCellMar>
            <w:top w:w="0" w:type="dxa"/>
            <w:left w:w="108" w:type="dxa"/>
            <w:bottom w:w="0" w:type="dxa"/>
            <w:right w:w="108" w:type="dxa"/>
          </w:tblCellMar>
        </w:tblPrEx>
        <w:trPr>
          <w:trHeight w:val="1214"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绩</w:t>
            </w:r>
            <w:r>
              <w:rPr>
                <w:rFonts w:hint="eastAsia" w:ascii="黑体" w:hAnsi="宋体" w:eastAsia="黑体" w:cs="宋体"/>
                <w:color w:val="000000"/>
                <w:kern w:val="0"/>
                <w:szCs w:val="21"/>
              </w:rPr>
              <w:br w:type="textWrapping"/>
            </w:r>
            <w:r>
              <w:rPr>
                <w:rFonts w:hint="eastAsia" w:ascii="黑体" w:hAnsi="宋体" w:eastAsia="黑体" w:cs="宋体"/>
                <w:color w:val="000000"/>
                <w:kern w:val="0"/>
                <w:szCs w:val="21"/>
              </w:rPr>
              <w:t>效</w:t>
            </w:r>
            <w:r>
              <w:rPr>
                <w:rFonts w:hint="eastAsia" w:ascii="黑体" w:hAnsi="宋体" w:eastAsia="黑体" w:cs="宋体"/>
                <w:color w:val="000000"/>
                <w:kern w:val="0"/>
                <w:szCs w:val="21"/>
              </w:rPr>
              <w:br w:type="textWrapping"/>
            </w:r>
            <w:r>
              <w:rPr>
                <w:rFonts w:hint="eastAsia" w:ascii="黑体" w:hAnsi="宋体" w:eastAsia="黑体" w:cs="宋体"/>
                <w:color w:val="000000"/>
                <w:kern w:val="0"/>
                <w:szCs w:val="21"/>
              </w:rPr>
              <w:t>指</w:t>
            </w:r>
            <w:r>
              <w:rPr>
                <w:rFonts w:hint="eastAsia" w:ascii="黑体" w:hAnsi="宋体" w:eastAsia="黑体" w:cs="宋体"/>
                <w:color w:val="000000"/>
                <w:kern w:val="0"/>
                <w:szCs w:val="21"/>
              </w:rPr>
              <w:br w:type="textWrapping"/>
            </w:r>
            <w:r>
              <w:rPr>
                <w:rFonts w:hint="eastAsia" w:ascii="黑体" w:hAnsi="宋体" w:eastAsia="黑体" w:cs="宋体"/>
                <w:color w:val="000000"/>
                <w:kern w:val="0"/>
                <w:szCs w:val="21"/>
              </w:rPr>
              <w:t>标</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二级指标</w:t>
            </w: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年度</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实际</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得分</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cs="宋体"/>
                <w:color w:val="000000"/>
                <w:kern w:val="0"/>
                <w:szCs w:val="21"/>
              </w:rPr>
            </w:pPr>
            <w:r>
              <w:rPr>
                <w:rFonts w:hint="eastAsia" w:ascii="黑体" w:hAnsi="宋体" w:eastAsia="黑体" w:cs="宋体"/>
                <w:color w:val="000000"/>
                <w:kern w:val="0"/>
                <w:szCs w:val="21"/>
              </w:rPr>
              <w:t>偏差原因分析及改进措施</w:t>
            </w: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产出指标</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数量指标</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（20分）</w:t>
            </w: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黑体" w:eastAsia="黑体" w:cs="黑体"/>
                <w:color w:val="000000"/>
                <w:sz w:val="18"/>
                <w:szCs w:val="18"/>
              </w:rPr>
              <w:t>管护垃圾中转站16座</w:t>
            </w:r>
          </w:p>
        </w:tc>
        <w:tc>
          <w:tcPr>
            <w:tcW w:w="89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8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25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投入使用垃圾清运车辆</w:t>
            </w:r>
            <w:r>
              <w:rPr>
                <w:rFonts w:hint="eastAsia" w:ascii="微软雅黑" w:hAnsi="微软雅黑" w:eastAsia="微软雅黑" w:cs="微软雅黑"/>
                <w:color w:val="000000"/>
                <w:sz w:val="18"/>
                <w:szCs w:val="18"/>
              </w:rPr>
              <w:t>&gt;</w:t>
            </w:r>
            <w:r>
              <w:rPr>
                <w:rFonts w:hint="eastAsia" w:ascii="黑体" w:hAnsi="黑体" w:eastAsia="黑体" w:cs="黑体"/>
                <w:color w:val="000000"/>
                <w:sz w:val="18"/>
                <w:szCs w:val="18"/>
              </w:rPr>
              <w:t>20辆</w:t>
            </w:r>
          </w:p>
        </w:tc>
        <w:tc>
          <w:tcPr>
            <w:tcW w:w="89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8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完成15万吨年垃圾清运总量</w:t>
            </w:r>
          </w:p>
        </w:tc>
        <w:tc>
          <w:tcPr>
            <w:tcW w:w="89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8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110%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2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质量指标</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垃圾中转站监控覆盖率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黑体" w:eastAsia="黑体" w:cs="黑体"/>
                <w:color w:val="000000"/>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黑体" w:eastAsia="黑体" w:cs="黑体"/>
                <w:color w:val="000000"/>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 w:val="15"/>
                <w:szCs w:val="15"/>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辖区生活垃圾日产日清</w:t>
            </w:r>
          </w:p>
        </w:tc>
        <w:tc>
          <w:tcPr>
            <w:tcW w:w="89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黑体" w:eastAsia="黑体" w:cs="黑体"/>
                <w:color w:val="000000"/>
                <w:kern w:val="0"/>
                <w:sz w:val="18"/>
                <w:szCs w:val="18"/>
              </w:rPr>
              <w:t>100%</w:t>
            </w:r>
          </w:p>
        </w:tc>
        <w:tc>
          <w:tcPr>
            <w:tcW w:w="8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黑体" w:eastAsia="黑体" w:cs="黑体"/>
                <w:color w:val="000000"/>
                <w:kern w:val="0"/>
                <w:sz w:val="18"/>
                <w:szCs w:val="18"/>
              </w:rPr>
              <w:t>100%</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5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时效指标</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（5分）</w:t>
            </w: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垃圾清运及时率</w:t>
            </w:r>
          </w:p>
        </w:tc>
        <w:tc>
          <w:tcPr>
            <w:tcW w:w="89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8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95%</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4</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5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成本指标</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（10分）</w:t>
            </w: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sz w:val="18"/>
                <w:szCs w:val="18"/>
              </w:rPr>
              <w:t>严控区压缩式垃圾中转站                    年管养标准9.6万元/个</w:t>
            </w:r>
          </w:p>
        </w:tc>
        <w:tc>
          <w:tcPr>
            <w:tcW w:w="89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8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3</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3</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5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ind w:left="1080" w:hanging="1080" w:hangingChars="600"/>
              <w:jc w:val="center"/>
              <w:rPr>
                <w:rFonts w:ascii="黑体" w:hAnsi="黑体" w:eastAsia="黑体" w:cs="黑体"/>
                <w:color w:val="000000"/>
                <w:sz w:val="18"/>
                <w:szCs w:val="18"/>
              </w:rPr>
            </w:pPr>
            <w:r>
              <w:rPr>
                <w:rFonts w:hint="eastAsia" w:ascii="黑体" w:hAnsi="黑体" w:eastAsia="黑体" w:cs="黑体"/>
                <w:color w:val="000000"/>
                <w:sz w:val="18"/>
                <w:szCs w:val="18"/>
              </w:rPr>
              <w:t xml:space="preserve">控制区压缩式垃圾中转站   </w:t>
            </w:r>
          </w:p>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sz w:val="18"/>
                <w:szCs w:val="18"/>
              </w:rPr>
              <w:t>年管养标准8万元/个</w:t>
            </w:r>
          </w:p>
        </w:tc>
        <w:tc>
          <w:tcPr>
            <w:tcW w:w="89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8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2</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2</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5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ind w:left="1080" w:hanging="1080" w:hangingChars="600"/>
              <w:jc w:val="center"/>
              <w:rPr>
                <w:rFonts w:ascii="黑体" w:hAnsi="黑体" w:eastAsia="黑体" w:cs="黑体"/>
                <w:color w:val="000000"/>
                <w:sz w:val="18"/>
                <w:szCs w:val="18"/>
              </w:rPr>
            </w:pPr>
            <w:r>
              <w:rPr>
                <w:rFonts w:hint="eastAsia" w:ascii="黑体" w:hAnsi="黑体" w:eastAsia="黑体" w:cs="黑体"/>
                <w:color w:val="000000"/>
                <w:sz w:val="18"/>
                <w:szCs w:val="18"/>
              </w:rPr>
              <w:t xml:space="preserve">一般区压缩式垃圾中转站   </w:t>
            </w:r>
          </w:p>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sz w:val="18"/>
                <w:szCs w:val="18"/>
              </w:rPr>
              <w:t>年管养标准6.4万元/个</w:t>
            </w:r>
          </w:p>
        </w:tc>
        <w:tc>
          <w:tcPr>
            <w:tcW w:w="89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8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sz w:val="18"/>
                <w:szCs w:val="18"/>
              </w:rPr>
              <w:t>环卫作业经费标准30元/吨</w:t>
            </w:r>
          </w:p>
        </w:tc>
        <w:tc>
          <w:tcPr>
            <w:tcW w:w="899"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89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4</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4</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3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效益指标</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社会效益</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指标          （10分）</w:t>
            </w: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保持并提高城区卫生状况</w:t>
            </w:r>
          </w:p>
        </w:tc>
        <w:tc>
          <w:tcPr>
            <w:tcW w:w="89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90%</w:t>
            </w:r>
          </w:p>
        </w:tc>
        <w:tc>
          <w:tcPr>
            <w:tcW w:w="89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85%</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5</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提升城区净洁度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可持续影响指标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垃圾站作业水平持续提高</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80%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Cs w:val="21"/>
              </w:rPr>
            </w:pPr>
            <w:r>
              <w:rPr>
                <w:rFonts w:hint="eastAsia" w:ascii="黑体" w:hAnsi="黑体" w:eastAsia="黑体" w:cs="黑体"/>
                <w:color w:val="000000"/>
                <w:kern w:val="0"/>
                <w:szCs w:val="21"/>
              </w:rPr>
              <w:t>8</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满意度</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指标</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服务对象满意度指标（10分）</w:t>
            </w:r>
          </w:p>
        </w:tc>
        <w:tc>
          <w:tcPr>
            <w:tcW w:w="2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≥90%</w:t>
            </w:r>
          </w:p>
        </w:tc>
        <w:tc>
          <w:tcPr>
            <w:tcW w:w="8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黑体" w:eastAsia="黑体" w:cs="黑体"/>
                <w:color w:val="000000"/>
                <w:kern w:val="0"/>
                <w:sz w:val="18"/>
                <w:szCs w:val="18"/>
              </w:rPr>
              <w:t>&gt;85%</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w:t>
            </w:r>
          </w:p>
        </w:tc>
        <w:tc>
          <w:tcPr>
            <w:tcW w:w="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w:t>
            </w:r>
          </w:p>
        </w:tc>
        <w:tc>
          <w:tcPr>
            <w:tcW w:w="12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 w:val="15"/>
                <w:szCs w:val="15"/>
              </w:rPr>
            </w:pPr>
            <w:r>
              <w:rPr>
                <w:rFonts w:hint="eastAsia" w:ascii="黑体" w:hAnsi="宋体" w:eastAsia="黑体" w:cs="宋体"/>
                <w:color w:val="000000"/>
                <w:kern w:val="0"/>
                <w:sz w:val="15"/>
                <w:szCs w:val="15"/>
              </w:rPr>
              <w:t>公众对火车站管理期望值高，我们在今后的工作中要不断提高质量要求。</w:t>
            </w: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p>
        </w:tc>
      </w:tr>
    </w:tbl>
    <w:p/>
    <w:p>
      <w:pPr>
        <w:spacing w:line="560" w:lineRule="exact"/>
        <w:ind w:right="640"/>
        <w:rPr>
          <w:rFonts w:ascii="仿宋_GB2312" w:eastAsia="仿宋_GB2312"/>
          <w:sz w:val="32"/>
          <w:szCs w:val="32"/>
        </w:rPr>
      </w:pPr>
      <w:r>
        <w:rPr>
          <w:rFonts w:hint="eastAsia" w:ascii="仿宋" w:hAnsi="仿宋" w:eastAsia="仿宋" w:cs="仿宋"/>
          <w:b/>
          <w:bCs/>
          <w:sz w:val="32"/>
          <w:szCs w:val="32"/>
        </w:rPr>
        <w:t>第四部分名词解释</w:t>
      </w:r>
      <w:r>
        <w:rPr>
          <w:rFonts w:ascii="楷体" w:hAnsi="楷体" w:eastAsia="楷体" w:cs="楷体"/>
          <w:sz w:val="32"/>
          <w:szCs w:val="32"/>
        </w:rPr>
        <w:tab/>
      </w:r>
    </w:p>
    <w:p>
      <w:pPr>
        <w:widowControl/>
        <w:spacing w:line="540" w:lineRule="exact"/>
        <w:rPr>
          <w:rFonts w:ascii="仿宋_GB2312" w:eastAsia="仿宋_GB2312"/>
          <w:sz w:val="32"/>
          <w:szCs w:val="32"/>
        </w:rPr>
      </w:pPr>
      <w:r>
        <w:rPr>
          <w:rFonts w:hint="eastAsia" w:ascii="仿宋_GB2312" w:eastAsia="仿宋_GB2312"/>
          <w:sz w:val="32"/>
          <w:szCs w:val="32"/>
        </w:rPr>
        <w:t>一、收入科目</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p>
    <w:p>
      <w:pPr>
        <w:widowControl/>
        <w:spacing w:line="540" w:lineRule="exact"/>
        <w:rPr>
          <w:rFonts w:ascii="仿宋_GB2312" w:eastAsia="仿宋_GB2312"/>
          <w:sz w:val="32"/>
          <w:szCs w:val="32"/>
        </w:rPr>
      </w:pPr>
      <w:r>
        <w:rPr>
          <w:rFonts w:hint="eastAsia" w:ascii="仿宋_GB2312" w:eastAsia="仿宋_GB2312"/>
          <w:sz w:val="32"/>
          <w:szCs w:val="32"/>
        </w:rPr>
        <w:t>（一）财政拨款：指省级财政当年拨付的资金。</w:t>
      </w:r>
      <w:r>
        <w:rPr>
          <w:rFonts w:ascii="仿宋_GB2312" w:eastAsia="仿宋_GB2312"/>
          <w:sz w:val="32"/>
          <w:szCs w:val="32"/>
        </w:rPr>
        <w:tab/>
      </w:r>
      <w:r>
        <w:rPr>
          <w:rFonts w:ascii="仿宋_GB2312" w:eastAsia="仿宋_GB2312"/>
          <w:sz w:val="32"/>
          <w:szCs w:val="32"/>
        </w:rPr>
        <w:tab/>
      </w:r>
    </w:p>
    <w:p>
      <w:pPr>
        <w:widowControl/>
        <w:spacing w:line="540" w:lineRule="exact"/>
        <w:rPr>
          <w:rFonts w:ascii="仿宋_GB2312" w:eastAsia="仿宋_GB2312"/>
          <w:sz w:val="32"/>
          <w:szCs w:val="32"/>
        </w:rPr>
      </w:pPr>
      <w:r>
        <w:rPr>
          <w:rFonts w:hint="eastAsia" w:ascii="仿宋_GB2312" w:eastAsia="仿宋_GB2312"/>
          <w:sz w:val="32"/>
          <w:szCs w:val="32"/>
        </w:rPr>
        <w:t>（二）事业收入：指事业单位开展专业业务活动及辅助活动取得的收入。</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p>
    <w:p>
      <w:pPr>
        <w:widowControl/>
        <w:spacing w:line="540" w:lineRule="exact"/>
        <w:rPr>
          <w:rFonts w:ascii="仿宋_GB2312" w:eastAsia="仿宋_GB2312"/>
          <w:sz w:val="32"/>
          <w:szCs w:val="32"/>
        </w:rPr>
      </w:pPr>
      <w:r>
        <w:rPr>
          <w:rFonts w:hint="eastAsia" w:ascii="仿宋_GB2312" w:eastAsia="仿宋_GB2312"/>
          <w:sz w:val="32"/>
          <w:szCs w:val="32"/>
        </w:rPr>
        <w:t>（三）事业单位经营收入：指事业单位在专业业务活动及辅助活动之外开展非独立核算经营活动取得的收入。</w:t>
      </w:r>
    </w:p>
    <w:p>
      <w:pPr>
        <w:widowControl/>
        <w:spacing w:line="540" w:lineRule="exact"/>
        <w:rPr>
          <w:rFonts w:ascii="仿宋_GB2312" w:hAnsi="Times New Roman" w:eastAsia="仿宋_GB2312"/>
          <w:sz w:val="32"/>
          <w:szCs w:val="32"/>
        </w:rPr>
      </w:pPr>
      <w:r>
        <w:rPr>
          <w:rFonts w:hint="eastAsia" w:ascii="仿宋_GB2312" w:eastAsia="仿宋_GB2312"/>
          <w:sz w:val="32"/>
          <w:szCs w:val="32"/>
        </w:rPr>
        <w:t>（四）其他收入：指除财政拨款、事业收入、事业单位</w:t>
      </w:r>
      <w:r>
        <w:rPr>
          <w:rFonts w:hint="eastAsia" w:ascii="仿宋_GB2312" w:hAnsi="Times New Roman" w:eastAsia="仿宋_GB2312"/>
          <w:sz w:val="32"/>
          <w:szCs w:val="32"/>
        </w:rPr>
        <w:t>经营收入等以外的各项收入。</w:t>
      </w:r>
    </w:p>
    <w:p>
      <w:pPr>
        <w:widowControl/>
        <w:spacing w:line="540" w:lineRule="exact"/>
      </w:pPr>
      <w:r>
        <w:rPr>
          <w:rFonts w:hint="eastAsia" w:ascii="仿宋_GB2312" w:hAnsi="Times New Roman" w:eastAsia="仿宋_GB2312"/>
          <w:sz w:val="32"/>
          <w:szCs w:val="32"/>
        </w:rPr>
        <w:t>（</w:t>
      </w:r>
      <w:r>
        <w:rPr>
          <w:rFonts w:hint="eastAsia" w:ascii="仿宋_GB2312" w:eastAsia="仿宋_GB2312"/>
          <w:sz w:val="32"/>
          <w:szCs w:val="32"/>
        </w:rPr>
        <w:t>五）附属单位上缴收入：反映事业单位附属的独立核算单位按规定标准或比例缴纳的各项收入。包括附属的事业单位上缴的收入和附属的企业上缴的利润等。</w:t>
      </w:r>
    </w:p>
    <w:p>
      <w:pPr>
        <w:widowControl/>
        <w:spacing w:line="540" w:lineRule="exact"/>
        <w:rPr>
          <w:rFonts w:ascii="仿宋_GB2312" w:eastAsia="仿宋_GB2312"/>
          <w:sz w:val="32"/>
          <w:szCs w:val="32"/>
        </w:rPr>
      </w:pPr>
      <w:r>
        <w:rPr>
          <w:rFonts w:hint="eastAsia" w:ascii="仿宋_GB2312" w:eastAsia="仿宋_GB2312"/>
          <w:sz w:val="32"/>
          <w:szCs w:val="32"/>
        </w:rPr>
        <w:t>（六）上级补助收入：反映事业单位从主管部门和上级单位取得的非财政补助收入。</w:t>
      </w:r>
    </w:p>
    <w:p>
      <w:pPr>
        <w:widowControl/>
        <w:spacing w:line="540" w:lineRule="exact"/>
        <w:rPr>
          <w:rFonts w:ascii="仿宋_GB2312" w:eastAsia="仿宋_GB2312"/>
          <w:sz w:val="32"/>
          <w:szCs w:val="32"/>
        </w:rPr>
      </w:pPr>
      <w:r>
        <w:rPr>
          <w:rFonts w:hint="eastAsia" w:ascii="仿宋_GB2312" w:eastAsia="仿宋_GB2312"/>
          <w:sz w:val="32"/>
          <w:szCs w:val="32"/>
        </w:rPr>
        <w:t>（七）用事业基金弥补收支差额：填列事业单位用事业基金弥补年收支差额的数额。</w:t>
      </w:r>
    </w:p>
    <w:p>
      <w:pPr>
        <w:widowControl/>
        <w:spacing w:line="540" w:lineRule="exact"/>
        <w:rPr>
          <w:rFonts w:ascii="仿宋_GB2312" w:eastAsia="仿宋_GB2312"/>
          <w:sz w:val="32"/>
          <w:szCs w:val="32"/>
        </w:rPr>
      </w:pPr>
      <w:r>
        <w:rPr>
          <w:rFonts w:hint="eastAsia" w:ascii="仿宋_GB2312" w:eastAsia="仿宋_GB2312"/>
          <w:sz w:val="32"/>
          <w:szCs w:val="32"/>
        </w:rPr>
        <w:t>（八）上年结转和结余：填列全部结转和结余的资金数，包括当年结转结余资金和历年滚存结转结余资金。</w:t>
      </w:r>
    </w:p>
    <w:p>
      <w:pPr>
        <w:widowControl/>
        <w:spacing w:line="540" w:lineRule="exact"/>
        <w:rPr>
          <w:rFonts w:ascii="仿宋_GB2312" w:eastAsia="仿宋_GB2312"/>
          <w:sz w:val="32"/>
          <w:szCs w:val="32"/>
        </w:rPr>
      </w:pPr>
      <w:r>
        <w:rPr>
          <w:rFonts w:hint="eastAsia" w:ascii="仿宋_GB2312" w:eastAsia="仿宋_GB2312"/>
          <w:sz w:val="32"/>
          <w:szCs w:val="32"/>
        </w:rPr>
        <w:t>二、支出科目</w:t>
      </w:r>
    </w:p>
    <w:p>
      <w:pPr>
        <w:widowControl/>
        <w:spacing w:line="540" w:lineRule="exac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、一般公共服务支出（类）财政事务（款）行政运行（项）：反映各级财政行政单位（包括实行公务员管理的事业单位）的基本支出。</w:t>
      </w:r>
    </w:p>
    <w:p>
      <w:pPr>
        <w:widowControl/>
        <w:spacing w:line="540" w:lineRule="exac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、一般公共服务支出（类）财政事务（款）一般行政管理事务（项）：反映各级财政行政单位（包括实行公务员管理的事业单位）未单独设置项级科目的其他项目支出。</w:t>
      </w:r>
    </w:p>
    <w:p>
      <w:pPr>
        <w:widowControl/>
        <w:spacing w:line="540" w:lineRule="exac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、一般公共服务支出（类）财政事务（款）财政国库业务（项）：反映财政部门用于财政国库集中收付业务方面的支出。</w:t>
      </w:r>
    </w:p>
    <w:p>
      <w:pPr>
        <w:widowControl/>
        <w:spacing w:line="540" w:lineRule="exac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、一般公共服务支出（类）财政事务（款）事业运行（项）：反映财政事业单位的基本支出。</w:t>
      </w:r>
    </w:p>
    <w:p>
      <w:pPr>
        <w:widowControl/>
        <w:spacing w:line="540" w:lineRule="exact"/>
      </w:pPr>
      <w:r>
        <w:rPr>
          <w:rFonts w:ascii="仿宋_GB2312" w:eastAsia="仿宋_GB2312"/>
          <w:sz w:val="32"/>
          <w:szCs w:val="32"/>
        </w:rPr>
        <w:t>5</w:t>
      </w:r>
      <w:r>
        <w:rPr>
          <w:rFonts w:hint="eastAsia" w:ascii="仿宋_GB2312" w:eastAsia="仿宋_GB2312"/>
          <w:sz w:val="32"/>
          <w:szCs w:val="32"/>
        </w:rPr>
        <w:t>、一般公共服务支出（类）财政事务（款）其他财政事务支出（项）：反映财政事业单位其他财政事务方面的支出。</w:t>
      </w:r>
    </w:p>
    <w:p>
      <w:pPr>
        <w:widowControl/>
        <w:spacing w:line="540" w:lineRule="exac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、社会保障和就业支出（类）行政单位离退休（款）未归口管理的行政单位离退休（项）：反映未实行归口管理的行政单位（包括实行公务员管理的事业单位）开支的离退休经费。</w:t>
      </w:r>
    </w:p>
    <w:p>
      <w:pPr>
        <w:widowControl/>
        <w:spacing w:line="540" w:lineRule="exact"/>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、社会保障和就业支出（类）行政单位离退休（款）机关事业单位基本养老保险缴费支出（项）：反映机关事业单位实施养老保险制度由单位缴纳的基本养老保险费支出。</w:t>
      </w:r>
    </w:p>
    <w:p>
      <w:pPr>
        <w:widowControl/>
        <w:spacing w:line="540" w:lineRule="exact"/>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、社会保障和就业支出（类）行政单位离退休（款）机关事业单位职业年金缴费支出（项）：反映机关事业单位实施养老保险制度由单位实际缴纳的职业年金支出。</w:t>
      </w:r>
    </w:p>
    <w:p>
      <w:pPr>
        <w:widowControl/>
        <w:spacing w:line="540" w:lineRule="exact"/>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、农林水支出（类）水利（款）其他水利支出（项）：反映除其他用于水利方面的支出。</w:t>
      </w:r>
    </w:p>
    <w:p>
      <w:pPr>
        <w:widowControl/>
        <w:spacing w:line="540" w:lineRule="exact"/>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、住房保障支出（类）住房改革支出（款）住房公积金（项）：反映行政事业单位按人力资源和社会保障部、财政部规定的基本工资和津补贴以及规定比例为职工缴纳的住房公积金。</w:t>
      </w:r>
    </w:p>
    <w:p>
      <w:pPr>
        <w:widowControl/>
        <w:spacing w:line="540" w:lineRule="exact"/>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、住房保障支出（类）住房改革支出（款）购房补贴（项）：反映按房改政策规定，行政事业单位向符合条件职工（含离退休人员）、军队（含武警）向转役复员离退休人员发放的用于购买住房的补贴。</w:t>
      </w:r>
    </w:p>
    <w:p>
      <w:pPr>
        <w:spacing w:line="560" w:lineRule="exact"/>
        <w:ind w:right="640"/>
        <w:rPr>
          <w:rFonts w:ascii="仿宋_GB2312" w:eastAsia="仿宋_GB2312"/>
          <w:sz w:val="32"/>
          <w:szCs w:val="32"/>
        </w:rPr>
      </w:pPr>
    </w:p>
    <w:p>
      <w:pPr>
        <w:jc w:val="right"/>
        <w:rPr>
          <w:rFonts w:eastAsia="仿宋_GB2312"/>
        </w:rPr>
      </w:pPr>
      <w:r>
        <w:rPr>
          <w:rFonts w:hint="eastAsia" w:ascii="仿宋_GB2312" w:eastAsia="仿宋_GB2312"/>
          <w:sz w:val="32"/>
          <w:szCs w:val="32"/>
        </w:rPr>
        <w:t>二</w:t>
      </w:r>
      <w:r>
        <w:rPr>
          <w:rFonts w:ascii="仿宋_GB2312" w:eastAsia="仿宋_GB2312"/>
          <w:sz w:val="32"/>
          <w:szCs w:val="32"/>
        </w:rPr>
        <w:t>0</w:t>
      </w:r>
      <w:r>
        <w:rPr>
          <w:rFonts w:hint="eastAsia" w:ascii="仿宋_GB2312" w:eastAsia="仿宋_GB2312"/>
          <w:sz w:val="32"/>
          <w:szCs w:val="32"/>
        </w:rPr>
        <w:t>二一年六月三十日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宋体"/>
        <w:sz w:val="21"/>
        <w:szCs w:val="21"/>
      </w:rPr>
    </w:pPr>
    <w:r>
      <w:rPr>
        <w:rStyle w:val="10"/>
        <w:rFonts w:ascii="宋体" w:hAnsi="宋体"/>
        <w:sz w:val="21"/>
        <w:szCs w:val="21"/>
      </w:rPr>
      <w:fldChar w:fldCharType="begin"/>
    </w:r>
    <w:r>
      <w:rPr>
        <w:rStyle w:val="10"/>
        <w:rFonts w:ascii="宋体" w:hAnsi="宋体"/>
        <w:sz w:val="21"/>
        <w:szCs w:val="21"/>
      </w:rPr>
      <w:instrText xml:space="preserve">PAGE  </w:instrText>
    </w:r>
    <w:r>
      <w:rPr>
        <w:rStyle w:val="10"/>
        <w:rFonts w:ascii="宋体" w:hAnsi="宋体"/>
        <w:sz w:val="21"/>
        <w:szCs w:val="21"/>
      </w:rPr>
      <w:fldChar w:fldCharType="separate"/>
    </w:r>
    <w:r>
      <w:rPr>
        <w:rStyle w:val="10"/>
        <w:rFonts w:ascii="宋体" w:hAnsi="宋体"/>
        <w:sz w:val="21"/>
        <w:szCs w:val="21"/>
      </w:rPr>
      <w:t>5</w:t>
    </w:r>
    <w:r>
      <w:rPr>
        <w:rStyle w:val="10"/>
        <w:rFonts w:ascii="宋体" w:hAnsi="宋体"/>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宋体"/>
        <w:sz w:val="21"/>
        <w:szCs w:val="21"/>
      </w:rPr>
    </w:pPr>
    <w:r>
      <w:rPr>
        <w:rStyle w:val="10"/>
        <w:rFonts w:ascii="宋体" w:hAnsi="宋体"/>
        <w:sz w:val="21"/>
        <w:szCs w:val="21"/>
      </w:rPr>
      <w:fldChar w:fldCharType="begin"/>
    </w:r>
    <w:r>
      <w:rPr>
        <w:rStyle w:val="10"/>
        <w:rFonts w:ascii="宋体" w:hAnsi="宋体"/>
        <w:sz w:val="21"/>
        <w:szCs w:val="21"/>
      </w:rPr>
      <w:instrText xml:space="preserve">PAGE  </w:instrText>
    </w:r>
    <w:r>
      <w:rPr>
        <w:rStyle w:val="10"/>
        <w:rFonts w:ascii="宋体" w:hAnsi="宋体"/>
        <w:sz w:val="21"/>
        <w:szCs w:val="21"/>
      </w:rPr>
      <w:fldChar w:fldCharType="separate"/>
    </w:r>
    <w:r>
      <w:rPr>
        <w:rStyle w:val="10"/>
        <w:rFonts w:ascii="宋体" w:hAnsi="宋体"/>
        <w:sz w:val="21"/>
        <w:szCs w:val="21"/>
      </w:rPr>
      <w:t>16</w:t>
    </w:r>
    <w:r>
      <w:rPr>
        <w:rStyle w:val="10"/>
        <w:rFonts w:ascii="宋体" w:hAnsi="宋体"/>
        <w:sz w:val="21"/>
        <w:szCs w:val="2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CE8264"/>
    <w:multiLevelType w:val="singleLevel"/>
    <w:tmpl w:val="4CCE8264"/>
    <w:lvl w:ilvl="0" w:tentative="0">
      <w:start w:val="1"/>
      <w:numFmt w:val="chineseCounting"/>
      <w:suff w:val="nothing"/>
      <w:lvlText w:val="%1、"/>
      <w:lvlJc w:val="left"/>
      <w:rPr>
        <w:rFonts w:hint="eastAsia" w:cs="Times New Roman"/>
      </w:rPr>
    </w:lvl>
  </w:abstractNum>
  <w:abstractNum w:abstractNumId="1">
    <w:nsid w:val="59FA77B3"/>
    <w:multiLevelType w:val="singleLevel"/>
    <w:tmpl w:val="59FA77B3"/>
    <w:lvl w:ilvl="0" w:tentative="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M5ZWU4YTRhMzg3MThmOTVkNzM3OGZiMjBjYWE1ZjkifQ=="/>
  </w:docVars>
  <w:rsids>
    <w:rsidRoot w:val="0EFC42B0"/>
    <w:rsid w:val="00261790"/>
    <w:rsid w:val="00276973"/>
    <w:rsid w:val="002B75BA"/>
    <w:rsid w:val="003B7089"/>
    <w:rsid w:val="004736A4"/>
    <w:rsid w:val="00492B2D"/>
    <w:rsid w:val="0051065E"/>
    <w:rsid w:val="005833A2"/>
    <w:rsid w:val="00583BD8"/>
    <w:rsid w:val="005D6555"/>
    <w:rsid w:val="005E25BC"/>
    <w:rsid w:val="006B31D7"/>
    <w:rsid w:val="007422C4"/>
    <w:rsid w:val="00862843"/>
    <w:rsid w:val="008B1DD9"/>
    <w:rsid w:val="00997202"/>
    <w:rsid w:val="00AB5805"/>
    <w:rsid w:val="00B04876"/>
    <w:rsid w:val="00C039F6"/>
    <w:rsid w:val="00C568B5"/>
    <w:rsid w:val="00C85003"/>
    <w:rsid w:val="00EE3713"/>
    <w:rsid w:val="00F14C91"/>
    <w:rsid w:val="03884375"/>
    <w:rsid w:val="05761C29"/>
    <w:rsid w:val="092A03CF"/>
    <w:rsid w:val="092E485B"/>
    <w:rsid w:val="0AED38C3"/>
    <w:rsid w:val="0DA02EFC"/>
    <w:rsid w:val="0EFC42B0"/>
    <w:rsid w:val="1AB07202"/>
    <w:rsid w:val="1E8429D3"/>
    <w:rsid w:val="1E924487"/>
    <w:rsid w:val="261B1A43"/>
    <w:rsid w:val="283D6A2C"/>
    <w:rsid w:val="2A6119FC"/>
    <w:rsid w:val="333A020A"/>
    <w:rsid w:val="34E35B84"/>
    <w:rsid w:val="35201BB2"/>
    <w:rsid w:val="35FB58C9"/>
    <w:rsid w:val="36BD4F39"/>
    <w:rsid w:val="3899741B"/>
    <w:rsid w:val="3E001740"/>
    <w:rsid w:val="3FE466EE"/>
    <w:rsid w:val="40C33CF8"/>
    <w:rsid w:val="49506EA2"/>
    <w:rsid w:val="4CA961D2"/>
    <w:rsid w:val="4DED498A"/>
    <w:rsid w:val="4EB92A17"/>
    <w:rsid w:val="4F3B36A9"/>
    <w:rsid w:val="55684751"/>
    <w:rsid w:val="56B23691"/>
    <w:rsid w:val="64240A29"/>
    <w:rsid w:val="6C2D47EE"/>
    <w:rsid w:val="6C5D26DE"/>
    <w:rsid w:val="6E65429F"/>
    <w:rsid w:val="70181521"/>
    <w:rsid w:val="730F12BC"/>
    <w:rsid w:val="7509507C"/>
    <w:rsid w:val="7A9D436F"/>
    <w:rsid w:val="7DAB08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locked/>
    <w:uiPriority w:val="0"/>
    <w:pPr>
      <w:keepNext/>
      <w:keepLines/>
      <w:spacing w:line="413" w:lineRule="auto"/>
      <w:ind w:left="300" w:leftChars="300"/>
      <w:outlineLvl w:val="2"/>
    </w:pPr>
    <w:rPr>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Document Map"/>
    <w:basedOn w:val="1"/>
    <w:link w:val="11"/>
    <w:semiHidden/>
    <w:qFormat/>
    <w:uiPriority w:val="99"/>
    <w:pPr>
      <w:shd w:val="clear" w:color="auto" w:fill="00008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qFormat/>
    <w:uiPriority w:val="99"/>
    <w:rPr>
      <w:rFonts w:cs="Times New Roman"/>
    </w:rPr>
  </w:style>
  <w:style w:type="character" w:customStyle="1" w:styleId="11">
    <w:name w:val="文档结构图 Char"/>
    <w:link w:val="4"/>
    <w:semiHidden/>
    <w:qFormat/>
    <w:locked/>
    <w:uiPriority w:val="99"/>
    <w:rPr>
      <w:rFonts w:ascii="Times New Roman" w:hAnsi="Times New Roman" w:cs="Times New Roman"/>
      <w:sz w:val="2"/>
    </w:rPr>
  </w:style>
  <w:style w:type="character" w:customStyle="1" w:styleId="12">
    <w:name w:val="页脚 Char"/>
    <w:link w:val="5"/>
    <w:semiHidden/>
    <w:qFormat/>
    <w:locked/>
    <w:uiPriority w:val="99"/>
    <w:rPr>
      <w:rFonts w:cs="Times New Roman"/>
      <w:sz w:val="18"/>
      <w:szCs w:val="18"/>
    </w:rPr>
  </w:style>
  <w:style w:type="character" w:customStyle="1" w:styleId="13">
    <w:name w:val="页眉 Char"/>
    <w:link w:val="6"/>
    <w:semiHidden/>
    <w:qFormat/>
    <w:locked/>
    <w:uiPriority w:val="99"/>
    <w:rPr>
      <w:rFonts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Workbook1.xlsx"/><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image" Target="media/image10.emf"/><Relationship Id="rId26" Type="http://schemas.openxmlformats.org/officeDocument/2006/relationships/package" Target="embeddings/Workbook10.xlsx"/><Relationship Id="rId25" Type="http://schemas.openxmlformats.org/officeDocument/2006/relationships/image" Target="media/image9.emf"/><Relationship Id="rId24" Type="http://schemas.openxmlformats.org/officeDocument/2006/relationships/package" Target="embeddings/Workbook9.xlsx"/><Relationship Id="rId23" Type="http://schemas.openxmlformats.org/officeDocument/2006/relationships/image" Target="media/image8.emf"/><Relationship Id="rId22" Type="http://schemas.openxmlformats.org/officeDocument/2006/relationships/package" Target="embeddings/Workbook8.xlsx"/><Relationship Id="rId21" Type="http://schemas.openxmlformats.org/officeDocument/2006/relationships/image" Target="media/image7.emf"/><Relationship Id="rId20" Type="http://schemas.openxmlformats.org/officeDocument/2006/relationships/package" Target="embeddings/Workbook7.xlsx"/><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package" Target="embeddings/Workbook6.xlsx"/><Relationship Id="rId17" Type="http://schemas.openxmlformats.org/officeDocument/2006/relationships/image" Target="media/image5.emf"/><Relationship Id="rId16" Type="http://schemas.openxmlformats.org/officeDocument/2006/relationships/package" Target="embeddings/Workbook5.xlsx"/><Relationship Id="rId15" Type="http://schemas.openxmlformats.org/officeDocument/2006/relationships/image" Target="media/image4.emf"/><Relationship Id="rId14" Type="http://schemas.openxmlformats.org/officeDocument/2006/relationships/package" Target="embeddings/Workbook4.xlsx"/><Relationship Id="rId13" Type="http://schemas.openxmlformats.org/officeDocument/2006/relationships/image" Target="media/image3.emf"/><Relationship Id="rId12" Type="http://schemas.openxmlformats.org/officeDocument/2006/relationships/package" Target="embeddings/Workbook3.xlsx"/><Relationship Id="rId11" Type="http://schemas.openxmlformats.org/officeDocument/2006/relationships/image" Target="media/image2.emf"/><Relationship Id="rId10" Type="http://schemas.openxmlformats.org/officeDocument/2006/relationships/package" Target="embeddings/Workbook2.xlsx"/><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Toshiba</Company>
  <Pages>16</Pages>
  <Words>4274</Words>
  <Characters>4639</Characters>
  <Lines>38</Lines>
  <Paragraphs>10</Paragraphs>
  <TotalTime>41</TotalTime>
  <ScaleCrop>false</ScaleCrop>
  <LinksUpToDate>false</LinksUpToDate>
  <CharactersWithSpaces>4757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2022-05-14T03:03:00Z</dcterms:created>
  <dc:creator>花生酱</dc:creator>
  <cp:lastModifiedBy>百合的微笑</cp:lastModifiedBy>
  <dcterms:modified xsi:type="dcterms:W3CDTF">2022-05-15T08:29:32Z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FF4A0D011AE44B378AC521910758B810</vt:lpwstr>
  </property>
</Properties>
</file>