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396"/>
      </w:tblGrid>
      <w:tr w:rsidR="00F153C4" w:rsidRPr="00F153C4" w:rsidTr="00F153C4">
        <w:trPr>
          <w:tblCellSpacing w:w="15" w:type="dxa"/>
        </w:trPr>
        <w:tc>
          <w:tcPr>
            <w:tcW w:w="0" w:type="auto"/>
            <w:vAlign w:val="center"/>
            <w:hideMark/>
          </w:tcPr>
          <w:p w:rsidR="00F153C4" w:rsidRPr="00F153C4" w:rsidRDefault="00F153C4" w:rsidP="00F153C4">
            <w:pPr>
              <w:widowControl/>
              <w:spacing w:before="100" w:beforeAutospacing="1" w:after="100" w:afterAutospacing="1"/>
              <w:ind w:left="720" w:firstLineChars="750" w:firstLine="1800"/>
              <w:jc w:val="left"/>
              <w:rPr>
                <w:rFonts w:ascii="微软雅黑" w:eastAsia="微软雅黑" w:hAnsi="微软雅黑" w:cs="宋体"/>
                <w:color w:val="333333"/>
                <w:kern w:val="0"/>
                <w:sz w:val="24"/>
                <w:szCs w:val="24"/>
              </w:rPr>
            </w:pPr>
            <w:r w:rsidRPr="00F153C4">
              <w:rPr>
                <w:rFonts w:ascii="微软雅黑" w:eastAsia="微软雅黑" w:hAnsi="微软雅黑" w:cs="宋体" w:hint="eastAsia"/>
                <w:color w:val="333333"/>
                <w:kern w:val="0"/>
                <w:sz w:val="24"/>
                <w:szCs w:val="24"/>
              </w:rPr>
              <w:t>中华人民共和国药品管理法</w:t>
            </w:r>
          </w:p>
        </w:tc>
      </w:tr>
    </w:tbl>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b/>
          <w:bCs/>
          <w:color w:val="333333"/>
          <w:kern w:val="36"/>
          <w:sz w:val="24"/>
          <w:szCs w:val="24"/>
        </w:rPr>
      </w:pPr>
      <w:r w:rsidRPr="00F153C4">
        <w:rPr>
          <w:rFonts w:ascii="宋体" w:eastAsia="宋体" w:hAnsi="宋体" w:cs="Arial" w:hint="eastAsia"/>
          <w:b/>
          <w:bCs/>
          <w:color w:val="333333"/>
          <w:kern w:val="36"/>
          <w:sz w:val="24"/>
          <w:szCs w:val="24"/>
        </w:rPr>
        <w:t xml:space="preserve">　　</w:t>
      </w:r>
      <w:r w:rsidRPr="00F153C4">
        <w:rPr>
          <w:rFonts w:ascii="宋体" w:eastAsia="宋体" w:hAnsi="宋体" w:cs="Arial" w:hint="eastAsia"/>
          <w:color w:val="333333"/>
          <w:kern w:val="36"/>
          <w:sz w:val="24"/>
          <w:szCs w:val="24"/>
        </w:rPr>
        <w:t>（1984年9月20日第六届全国人民代表大会常务委员会第七次会议通过</w:t>
      </w:r>
      <w:r w:rsidRPr="00F153C4">
        <w:rPr>
          <w:rFonts w:ascii="宋体" w:eastAsia="宋体" w:hAnsi="宋体" w:cs="Arial" w:hint="eastAsia"/>
          <w:color w:val="333333"/>
          <w:kern w:val="36"/>
          <w:sz w:val="24"/>
          <w:szCs w:val="24"/>
        </w:rPr>
        <w:t> </w:t>
      </w:r>
      <w:r w:rsidRPr="00F153C4">
        <w:rPr>
          <w:rFonts w:ascii="宋体" w:eastAsia="宋体" w:hAnsi="宋体" w:cs="Arial" w:hint="eastAsia"/>
          <w:color w:val="333333"/>
          <w:kern w:val="36"/>
          <w:sz w:val="24"/>
          <w:szCs w:val="24"/>
        </w:rPr>
        <w:t> </w:t>
      </w:r>
      <w:r w:rsidRPr="00F153C4">
        <w:rPr>
          <w:rFonts w:ascii="宋体" w:eastAsia="宋体" w:hAnsi="宋体" w:cs="Arial" w:hint="eastAsia"/>
          <w:color w:val="333333"/>
          <w:kern w:val="36"/>
          <w:sz w:val="24"/>
          <w:szCs w:val="24"/>
        </w:rPr>
        <w:t>2001年2月28日第九届全国人民代表大会常务委员会第二十次会议第一次修订</w:t>
      </w:r>
      <w:r w:rsidRPr="00F153C4">
        <w:rPr>
          <w:rFonts w:ascii="宋体" w:eastAsia="宋体" w:hAnsi="宋体" w:cs="Arial" w:hint="eastAsia"/>
          <w:color w:val="333333"/>
          <w:kern w:val="36"/>
          <w:sz w:val="24"/>
          <w:szCs w:val="24"/>
        </w:rPr>
        <w:t> </w:t>
      </w:r>
      <w:r w:rsidRPr="00F153C4">
        <w:rPr>
          <w:rFonts w:ascii="宋体" w:eastAsia="宋体" w:hAnsi="宋体" w:cs="Arial" w:hint="eastAsia"/>
          <w:color w:val="333333"/>
          <w:kern w:val="36"/>
          <w:sz w:val="24"/>
          <w:szCs w:val="24"/>
        </w:rPr>
        <w:t> </w:t>
      </w:r>
      <w:r w:rsidRPr="00F153C4">
        <w:rPr>
          <w:rFonts w:ascii="宋体" w:eastAsia="宋体" w:hAnsi="宋体" w:cs="Arial" w:hint="eastAsia"/>
          <w:color w:val="333333"/>
          <w:kern w:val="36"/>
          <w:sz w:val="24"/>
          <w:szCs w:val="24"/>
        </w:rPr>
        <w:t>根据2013年12月28日第十二届全国人民代表大会常务委员会第六次会议《关于修改〈中华人民共和国海洋环境保护法〉等七部法律的决定》第一次修正</w:t>
      </w:r>
      <w:r w:rsidRPr="00F153C4">
        <w:rPr>
          <w:rFonts w:ascii="宋体" w:eastAsia="宋体" w:hAnsi="宋体" w:cs="Arial" w:hint="eastAsia"/>
          <w:color w:val="333333"/>
          <w:kern w:val="36"/>
          <w:sz w:val="24"/>
          <w:szCs w:val="24"/>
        </w:rPr>
        <w:t> </w:t>
      </w:r>
      <w:r w:rsidRPr="00F153C4">
        <w:rPr>
          <w:rFonts w:ascii="宋体" w:eastAsia="宋体" w:hAnsi="宋体" w:cs="Arial" w:hint="eastAsia"/>
          <w:color w:val="333333"/>
          <w:kern w:val="36"/>
          <w:sz w:val="24"/>
          <w:szCs w:val="24"/>
        </w:rPr>
        <w:t> </w:t>
      </w:r>
      <w:r w:rsidRPr="00F153C4">
        <w:rPr>
          <w:rFonts w:ascii="宋体" w:eastAsia="宋体" w:hAnsi="宋体" w:cs="Arial" w:hint="eastAsia"/>
          <w:color w:val="333333"/>
          <w:kern w:val="36"/>
          <w:sz w:val="24"/>
          <w:szCs w:val="24"/>
        </w:rPr>
        <w:t>根据2015年4月24日第十二届全国人民代表大会常务委员会第十四次会议《关于修改〈中华人民共和国药品管理法〉的决定》第二次修正</w:t>
      </w:r>
      <w:r w:rsidRPr="00F153C4">
        <w:rPr>
          <w:rFonts w:ascii="宋体" w:eastAsia="宋体" w:hAnsi="宋体" w:cs="Arial" w:hint="eastAsia"/>
          <w:color w:val="333333"/>
          <w:kern w:val="36"/>
          <w:sz w:val="24"/>
          <w:szCs w:val="24"/>
        </w:rPr>
        <w:t> </w:t>
      </w:r>
      <w:r w:rsidRPr="00F153C4">
        <w:rPr>
          <w:rFonts w:ascii="宋体" w:eastAsia="宋体" w:hAnsi="宋体" w:cs="Arial" w:hint="eastAsia"/>
          <w:color w:val="333333"/>
          <w:kern w:val="36"/>
          <w:sz w:val="24"/>
          <w:szCs w:val="24"/>
        </w:rPr>
        <w:t> </w:t>
      </w:r>
      <w:r w:rsidRPr="00F153C4">
        <w:rPr>
          <w:rFonts w:ascii="宋体" w:eastAsia="宋体" w:hAnsi="宋体" w:cs="Arial" w:hint="eastAsia"/>
          <w:color w:val="333333"/>
          <w:kern w:val="36"/>
          <w:sz w:val="24"/>
          <w:szCs w:val="24"/>
        </w:rPr>
        <w:t>2019年8月26日第十三届全国人民代表大会常务委员会第十二次会议第二次修订)</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目　　录</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第一章　总　　则</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第二章　药品研制和注册</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第三章　药品上市许可持有人</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第四章　药品生产</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第五章　药品经营</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第六章　医疗机构药事管理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第七章　药品上市后管理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第八章　药品价格和广告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第九章　药品储备和供应</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第十章　监督管理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第十一章　法律责任</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第十二章　附　　则</w:t>
      </w:r>
    </w:p>
    <w:p w:rsidR="00F153C4" w:rsidRPr="00F153C4" w:rsidRDefault="00F153C4" w:rsidP="00F153C4">
      <w:pPr>
        <w:widowControl/>
        <w:shd w:val="clear" w:color="auto" w:fill="FFFFFF"/>
        <w:spacing w:before="100" w:beforeAutospacing="1" w:after="100" w:afterAutospacing="1" w:line="480" w:lineRule="auto"/>
        <w:ind w:left="150" w:right="150"/>
        <w:jc w:val="center"/>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w:t>
      </w:r>
      <w:r w:rsidRPr="00F153C4">
        <w:rPr>
          <w:rFonts w:ascii="宋体" w:eastAsia="宋体" w:hAnsi="宋体" w:cs="Arial" w:hint="eastAsia"/>
          <w:b/>
          <w:bCs/>
          <w:color w:val="333333"/>
          <w:kern w:val="36"/>
          <w:sz w:val="24"/>
          <w:szCs w:val="24"/>
        </w:rPr>
        <w:t>第一章　总　　则</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第一条　为了加强药品管理，保证药品质量，保障公众用药安全和合法权益，保护和促进公众健康，制定本法。</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第二条　在中华人民共和国境内从事药品研制、生产、经营、使用和监督管理活动，适用本法。</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本法所称药品，是指用于预防、治疗、诊断人的疾病，有目的地调节人的生理机能并规定有适应症或者功能主治、用法和用量的物质，包括中药、化学药和生物制品等。</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第三条　药品管理应当以人民健康为中心，坚持风险管理、全程管控、社会共治的原则，建立科学、严格的监督管理制度，全面提升药品质量，保障药品的安全、有效、可及。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第四条　国家发展现代药和传统药，充分发挥其在预防、医疗和保健中的作用。</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国家保护野生药材资源和中药品种，鼓励培育道地中药材。</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第五条　国家鼓励研究和创制新药，保护公民、法人和其他组织研究、开发新药的合法权益。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第六条　国家对药品管理实行药品上市许可持有人制度。药品上市许可持有人依法对药品研制、生产、经营、使用全过程中药品的安全性、有效性和质量可控性负责。</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第七条　从事药品研制、生产、经营、使用活动，应当遵守法律、法规、规章、标准和规范，保证全过程信息真实、准确、完整和可追溯。</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第八条　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第九条　县级以上地方人民政府对本行政区域内的药品监督管理工作负责，统一领导、组织、协调本行政区域内的药品监督管理工作以及药品安全突发事件应对工作，建立健全药品监督管理工作机制和信息共享机制。</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第十条　县级以上人民政府应当将药品安全工作纳入本级国民经济和社会发展规划，将药品安全工作经费列入本级政府预算，加强药品监督管理能力建设，为药品安全工作提供保障。</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第十一条　药品监督管理部门设置或者指定的药品专业技术机构，承担依法实施药品监督管理所需的审评、检验、核查、监测与评价等工作。</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第十二条　国家建立健全药品追溯制度。国务院药品监督管理部门应当制定统一的药品追溯标准和规范，推进药品追溯信息互通互享，实现药品可追溯。</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国家建立药物警戒制度，对药品不良反应及其他与用药有关的有害反应进行监测、识别、评估和控制。</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第十三条　各级人民政府及其有关部门、药品行业协会等应当加强药品安全宣传教育，开展药品安全法律法规等知识的普及工作。</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新闻媒体应当开展药品安全法律法规等知识的公益宣传，并对药品违法行为进行舆论监督。有关药品的宣传报道应当全面、科学、客观、公正。</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第十四条　药品行业协会应当加强行业自律，建立健全行业规范，推动行业诚信体系建设，引导和督促会员依法开展药品生产经营等活动。</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第十五条　县级以上人民政府及其有关部门对在药品研制、生产、经营、使用和监督管理工作中做出突出贡献的单位和个人，按照国家有关规定给予表彰、奖励。</w:t>
      </w:r>
    </w:p>
    <w:p w:rsidR="00F153C4" w:rsidRPr="00F153C4" w:rsidRDefault="00F153C4" w:rsidP="00F153C4">
      <w:pPr>
        <w:widowControl/>
        <w:shd w:val="clear" w:color="auto" w:fill="FFFFFF"/>
        <w:spacing w:before="100" w:beforeAutospacing="1" w:after="100" w:afterAutospacing="1" w:line="480" w:lineRule="auto"/>
        <w:ind w:left="150" w:right="150"/>
        <w:jc w:val="center"/>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w:t>
      </w:r>
      <w:r w:rsidRPr="00F153C4">
        <w:rPr>
          <w:rFonts w:ascii="宋体" w:eastAsia="宋体" w:hAnsi="宋体" w:cs="Arial" w:hint="eastAsia"/>
          <w:b/>
          <w:bCs/>
          <w:color w:val="333333"/>
          <w:kern w:val="36"/>
          <w:sz w:val="24"/>
          <w:szCs w:val="24"/>
        </w:rPr>
        <w:t>第二章</w:t>
      </w:r>
      <w:r w:rsidRPr="00F153C4">
        <w:rPr>
          <w:rFonts w:ascii="宋体" w:eastAsia="宋体" w:hAnsi="宋体" w:cs="Arial" w:hint="eastAsia"/>
          <w:b/>
          <w:bCs/>
          <w:color w:val="333333"/>
          <w:kern w:val="36"/>
          <w:sz w:val="24"/>
          <w:szCs w:val="24"/>
        </w:rPr>
        <w:t> </w:t>
      </w:r>
      <w:r w:rsidRPr="00F153C4">
        <w:rPr>
          <w:rFonts w:ascii="宋体" w:eastAsia="宋体" w:hAnsi="宋体" w:cs="Arial" w:hint="eastAsia"/>
          <w:b/>
          <w:bCs/>
          <w:color w:val="333333"/>
          <w:kern w:val="36"/>
          <w:sz w:val="24"/>
          <w:szCs w:val="24"/>
        </w:rPr>
        <w:t> </w:t>
      </w:r>
      <w:r w:rsidRPr="00F153C4">
        <w:rPr>
          <w:rFonts w:ascii="宋体" w:eastAsia="宋体" w:hAnsi="宋体" w:cs="Arial" w:hint="eastAsia"/>
          <w:b/>
          <w:bCs/>
          <w:color w:val="333333"/>
          <w:kern w:val="36"/>
          <w:sz w:val="24"/>
          <w:szCs w:val="24"/>
        </w:rPr>
        <w:t>药品研制和注册</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第十六条　国家支持以临床价值为导向、对人的疾病具有明确或者特殊疗效的药物创新，鼓励具有新的治疗机理、治疗严重危及生命的疾病或者罕见病、对人体具有多靶向系统性调节干预功能等的新药研制，推动药品技术进步。</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国家鼓励运用现代科学技术和传统中药研究方法开展中药科学技术研究和药物开发，建立和完善符合中药特点的技术评价体系，促进中药传承创新。</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国家采取有效措施，鼓励儿童用药品的研制和创新，支持开发符合儿童生理特征的儿童用药品新品种、剂型和规格，对儿童用药品予以优先审评审批。</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第十七条　从事药品研制活动，应当遵守药物非临床研究质量管理规范、药物临床试验质量管理规范，保证药品研制全过程持续符合法定要求。</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药物非临床研究质量管理规范、药物临床试验质量管理规范由国务院药品监督管理部门会同国务院有关部门制定。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第十八条　开展药物非临床研究，应当符合国家有关规定，有与研究项目相适应的人员、场地、设备、仪器和管理制度，保证有关数据、资料和样品的真实性。</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第十九条　开展药物临床试验，应当按照国务院药品监督管理部门的规定如实报送研制方法、质量指标、药理及毒理试验结果等有关数据、资料和</w:t>
      </w:r>
      <w:r w:rsidRPr="00F153C4">
        <w:rPr>
          <w:rFonts w:ascii="宋体" w:eastAsia="宋体" w:hAnsi="宋体" w:cs="Arial" w:hint="eastAsia"/>
          <w:color w:val="333333"/>
          <w:kern w:val="36"/>
          <w:sz w:val="24"/>
          <w:szCs w:val="24"/>
        </w:rPr>
        <w:lastRenderedPageBreak/>
        <w:t>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开展药物临床试验，应当在具备相应条件的临床试验机构进行。药物临床试验机构实行备案管理，具体办法由国务院药品监督管理部门、国务院卫生健康主管部门共同制定。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第二十条　开展药物临床试验，应当符合伦理原则，制定临床试验方案，经伦理委员会审查同意。</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伦理委员会应当建立伦理审查工作制度，保证伦理审查过程独立、客观、公正，监督规范开展药物临床试验，保障受试者合法权益，维护社会公共利益。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第二十一条　实施药物临床试验，应当向受试者或者其监护人如实说明和解释临床试验的目的和风险等详细情况，取得受试者或者其监护人自愿签署的知情同意书，并采取有效措施保护受试者合法权益。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第二十二条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第二十三条　对正在开展临床试验的用于治疗严重危及生命且尚无有效治疗手段的疾病的药物，经医学观察可能获益，并且符合伦理原则的，经审查、知情同意后可以在开展临床试验的机构内用于其他病情相同的患者。</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第二十四条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申请药品注册，应当提供真实、充分、可靠的数据、资料和样品，证明药品的安全性、有效性和质量可控性。</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第二十五条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国务院药品监督管理部门在审批药品时，对化学原料药一并审评审批，对相关辅料、直接接触药品的包装材料和容器一并审评，对药品的质量标准、生产工艺、标签和说明书一并核准。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本法所称辅料，是指生产药品和调配处方时所用的赋形剂和附加剂。</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第二十六条　对治疗严重危及生命且尚无有效治疗手段的疾病以及公共卫生方面急需的药品，药物临床试验已有数据显示疗效并能预测其临床价值的，可以附条件批准，并在药品注册证书中载明相关事项。</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第二十七条　国务院药品监督管理部门应当完善药品审评审批工作制度，加强能力建设，建立健全沟通交流、专家咨询等机制，优化审评审批流程，提高审评审批效率。</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批准上市药品的审评结论和依据应当依法公开，接受社会监督。对审评审批中知悉的商业秘密应当保密。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第二十八条　药品应当符合国家药品标准。经国务院药品监督管理部门核准的药品质量标准高于国家药品标准的，按照经核准的药品质量标准执行；没有国家药品标准的，应当符合经核准的药品质量标准。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国务院药品监督管理部门颁布的《中华人民共和国药典》和药品标准为国家药品标准。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国务院药品监督管理部门会同国务院卫生健康主管部门组织药典委员会，负责国家药品标准的制定和修订。</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国务院药品监督管理部门设置或者指定的药品检验机构负责标定国家药品标准品、对照品。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第二十九条　列入国家药品标准的药品名称为药品通用名称。已经作为药品通用名称的，该名称不得作为药品商标使用。</w:t>
      </w:r>
    </w:p>
    <w:p w:rsidR="00F153C4" w:rsidRPr="00F153C4" w:rsidRDefault="00F153C4" w:rsidP="00F153C4">
      <w:pPr>
        <w:widowControl/>
        <w:shd w:val="clear" w:color="auto" w:fill="FFFFFF"/>
        <w:spacing w:before="100" w:beforeAutospacing="1" w:after="100" w:afterAutospacing="1" w:line="480" w:lineRule="auto"/>
        <w:ind w:left="150" w:right="150"/>
        <w:jc w:val="center"/>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w:t>
      </w:r>
      <w:r w:rsidRPr="00F153C4">
        <w:rPr>
          <w:rFonts w:ascii="宋体" w:eastAsia="宋体" w:hAnsi="宋体" w:cs="Arial" w:hint="eastAsia"/>
          <w:b/>
          <w:bCs/>
          <w:color w:val="333333"/>
          <w:kern w:val="36"/>
          <w:sz w:val="24"/>
          <w:szCs w:val="24"/>
        </w:rPr>
        <w:t>第三章　药品上市许可持有人</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第三十条　药品上市许可持有人是指取得药品注册证书的企业或者药品研制机构等。</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药品上市许可持有人的法定代表人、主要负责人对药品质量全面负责。</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第三十一条　药品上市许可持有人应当建立药品质量保证体系，配备专门人员独立负责药品质量管理。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药品上市许可持有人应当对受托药品生产企业、药品经营企业的质量管理体系进行定期审核，监督其持续具备质量保证和控制能力。</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第三十二条　药品上市许可持有人可以自行生产药品，也可以委托药品生产企业生产。</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国务院药品监督管理部门制定药品委托生产质量协议指南，指导、监督药品上市许可持有人和受托生产企业履行药品质量保证义务。</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血液制品、麻醉药品、精神药品、医疗用毒性药品、药品类易制毒化学品不得委托生产；但是，国务院药品监督管理部门另有规定的除外。</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第三十三条　药品上市许可持有人应当建立药品上市放行规程，对药品生产企业出厂放行的药品进行审核，经质量受权人签字后方可放行。不符合国家药品标准的，不得放行。</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第三十四条　药品上市许可持有人可以自行销售其取得药品注册证书的药品，也可以委托药品经营企业销售。药品上市许可持有人从事药品零售活动的，应当取得药品经营许可证。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上市许可持有人自行销售药品的，应当具备本法第五十二条规定的条件；委托销售的，应当委托符合条件的药品经营企业。药品上市许可持有人和受托经营企业应当签订委托协议，并严格履行协议约定的义务。</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第三十五条　药品上市许可持有人、药品生产企业、药品经营企业委托储存、运输药品的，应当对受托方的质量保证能力和风险管理能力进行评估，与其签订委托协议，约定药品质量责任、操作规程等内容，并对受托方进行监督。</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第三十六条　药品上市许可持有人、药品生产企业、药品经营企业和医疗机构应当建立并实施药品追溯制度，按照规定提供追溯信息，保证药品可追溯。</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第三十七条　药品上市许可持有人应当建立年度报告制度，每年将药品生产销售、上市后研究、风险管理等情况按照规定向省、自治区、直辖市人民政府药品监督管理部门报告。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第三十八条　药品上市许可持有人为境外企业的，应当由其指定的在中国境内的企业法人履行药品上市许可持有人义务，与药品上市许可持有人承担连带责任。</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第三十九条　中药饮片生产企业履行药品上市许可持有人的相关义务，对中药饮片生产、销售实行全过程管理，建立中药饮片追溯体系，保证中药饮片安全、有效、可追溯。</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第四十条　经国务院药品监督管理部门批准，药品上市许可持有人可以转让药品上市许可。受让方应当具备保障药品安全性、有效性和质量可控性的质量管理、风险防控和责任赔偿等能力，履行药品上市许可持有人义务。</w:t>
      </w:r>
    </w:p>
    <w:p w:rsidR="00F153C4" w:rsidRPr="00F153C4" w:rsidRDefault="00F153C4" w:rsidP="00F153C4">
      <w:pPr>
        <w:widowControl/>
        <w:shd w:val="clear" w:color="auto" w:fill="FFFFFF"/>
        <w:spacing w:before="100" w:beforeAutospacing="1" w:after="100" w:afterAutospacing="1" w:line="480" w:lineRule="auto"/>
        <w:ind w:left="150" w:right="150"/>
        <w:jc w:val="center"/>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w:t>
      </w:r>
      <w:r w:rsidRPr="00F153C4">
        <w:rPr>
          <w:rFonts w:ascii="宋体" w:eastAsia="宋体" w:hAnsi="宋体" w:cs="Arial" w:hint="eastAsia"/>
          <w:b/>
          <w:bCs/>
          <w:color w:val="333333"/>
          <w:kern w:val="36"/>
          <w:sz w:val="24"/>
          <w:szCs w:val="24"/>
        </w:rPr>
        <w:t>第四章　药品生产</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第四十一条　从事药品生产活动，应当经所在地省、自治区、直辖市人民政府药品监督管理部门批准，取得药品生产许可证。无药品生产许可证的，不得生产药品。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药品生产许可证应当标明有效期和生产范围，到期重新审查发证。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第四十二条　从事药品生产活动，应当具备以下条件:</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（一）有依法经过资格认定的药学技术人员、工程技术人员及相应的技术工人；</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（二）有与药品生产相适应的厂房、设施和卫生环境；</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（三）有能对所生产药品进行质量管理和质量检验的机构、人员及必要的仪器设备；</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（四）有保证药品质量的规章制度，并符合国务院药品监督管理部门依据本法制定的药品生产质量管理规范要求。</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第四十三条　从事药品生产活动，应当遵守药品生产质量管理规范，建立健全药品生产质量管理体系，保证药品生产全过程持续符合法定要求。</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药品生产企业的法定代表人、主要负责人对本企业的药品生产活动全面负责。</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第四十四条　药品应当按照国家药品标准和经药品监督管理部门核准的生产工艺进行生产。生产、检验记录应当完整准确，不得编造。</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中药饮片应当按照国家药品标准炮制；国家药品标准没有规定的，应当按照省、自治区、直辖市人民政府药品监督管理部门制定的炮制规范炮制。省、自治区、直辖市人民政府药品监督管理部门制定的炮制规范应当报国务</w:t>
      </w:r>
      <w:r w:rsidRPr="00F153C4">
        <w:rPr>
          <w:rFonts w:ascii="宋体" w:eastAsia="宋体" w:hAnsi="宋体" w:cs="Arial" w:hint="eastAsia"/>
          <w:color w:val="333333"/>
          <w:kern w:val="36"/>
          <w:sz w:val="24"/>
          <w:szCs w:val="24"/>
        </w:rPr>
        <w:lastRenderedPageBreak/>
        <w:t>院药品监督管理部门备案。不符合国家药品标准或者不按照省、自治区、直辖市人民政府药品监督管理部门制定的炮制规范炮制的，不得出厂、销售。</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第四十五条　生产药品所需的原料、辅料，应当符合药用要求、药品生产质量管理规范的有关要求。</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生产药品，应当按照规定对供应原料、辅料等的供应商进行审核，保证购进、使用的原料、辅料等符合前款规定要求。</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第四十六条　直接接触药品的包装材料和容器，应当符合药用要求，符合保障人体健康、安全的标准。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对不合格的直接接触药品的包装材料和容器，由药品监督管理部门责令停止使用。</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第四十七条　药品生产企业应当对药品进行质量检验。不符合国家药品标准的，不得出厂。</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药品生产企业应当建立药品出厂放行规程，明确出厂放行的标准、条件。符合标准、条件的，经质量受权人签字后方可放行。</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第四十八条　药品包装应当适合药品质量的要求，方便储存、运输和医疗使用。</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发运中药材应当有包装。在每件包装上，应当注明品名、产地、日期、供货单位，并附有质量合格的标志。</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第四十九条　药品包装应当按照规定印有或者贴有标签并附有说明书。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麻醉药品、精神药品、医疗用毒性药品、放射性药品、外用药品和非处方药的标签、说明书，应当印有规定的标志。</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第五十条　药品上市许可持有人、药品生产企业、药品经营企业和医疗机构中直接接触药品的工作人员，应当每年进行健康检查。患有传染病或者其他可能污染药品的疾病的，不得从事直接接触药品的工作。</w:t>
      </w:r>
    </w:p>
    <w:p w:rsidR="00F153C4" w:rsidRPr="00F153C4" w:rsidRDefault="00F153C4" w:rsidP="00F153C4">
      <w:pPr>
        <w:widowControl/>
        <w:shd w:val="clear" w:color="auto" w:fill="FFFFFF"/>
        <w:spacing w:before="100" w:beforeAutospacing="1" w:after="100" w:afterAutospacing="1" w:line="480" w:lineRule="auto"/>
        <w:ind w:left="150" w:right="150"/>
        <w:jc w:val="center"/>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w:t>
      </w:r>
      <w:r w:rsidRPr="00F153C4">
        <w:rPr>
          <w:rFonts w:ascii="宋体" w:eastAsia="宋体" w:hAnsi="宋体" w:cs="Arial" w:hint="eastAsia"/>
          <w:b/>
          <w:bCs/>
          <w:color w:val="333333"/>
          <w:kern w:val="36"/>
          <w:sz w:val="24"/>
          <w:szCs w:val="24"/>
        </w:rPr>
        <w:t>第五章　药品经营</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药品经营许可证应当标明有效期和经营范围，到期重新审查发证。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药品监督管理部门实施药品经营许可，除依据本法第五十二条规定的条件外，还应当遵循方便群众购药的原则。</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第五十二条　从事药品经营活动应当具备以下条件:</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（一）有依法经过资格认定的药师或者其他药学技术人员；</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（二）有与所经营药品相适应的营业场所、设备、仓储设施和卫生环境；</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（三）有与所经营药品相适应的质量管理机构或者人员；</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（四）有保证药品质量的规章制度，并符合国务院药品监督管理部门依据本法制定的药品经营质量管理规范要求。</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第五十三条　从事药品经营活动，应当遵守药品经营质量管理规范，建立健全药品经营质量管理体系，保证药品经营全过程持续符合法定要求。</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国家鼓励、引导药品零售连锁经营。从事药品零售连锁经营活动的企业总部，应当建立统一的质量管理制度，对所属零售企业的经营活动履行管理责任。</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药品经营企业的法定代表人、主要负责人对本企业的药品经营活动全面负责。</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第五十四条　国家对药品实行处方药与非处方药分类管理制度。具体办法由国务院药品监督管理部门会同国务院卫生健康主管部门制定。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第五十五条　药品上市许可持有人、药品生产企业、药品经营企业和医疗机构应当从药品上市许可持有人或者具有药品生产、经营资格的企业购进药品；但是，购进未实施审批管理的中药材除外。</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第五十六条　药品经营企业购进药品，应当建立并执行进货检查验收制度，验明药品合格证明和其他标识；不符合规定要求的，不得购进和销售。</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第五十七条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第五十八条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药品经营企业销售中药材，应当标明产地。</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依法经过资格认定的药师或者其他药学技术人员负责本企业的药品管理、处方审核和调配、合理用药指导等工作。</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第五十九条　药品经营企业应当制定和执行药品保管制度，采取必要的冷藏、防冻、防潮、防虫、防鼠等措施，保证药品质量。</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药品入库和出库应当执行检查制度。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第六十条　城乡集市贸易市场可以出售中药材，国务院另有规定的除外。</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第六十一条　药品上市许可持有人、药品经营企业通过网络销售药品，应当遵守本法药品经营的有关规定。具体管理办法由国务院药品监督管理部门会同国务院卫生健康主管部门等部门制定。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疫苗、血液制品、麻醉药品、精神药品、医疗用毒性药品、放射性药品、药品类易制毒化学品等国家实行特殊管理的药品不得在网络上销售。</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第六十二条　药品网络交易第三方平台提供者应当按照国务院药品监督管理部门的规定，向所在地省、自治区、直辖市人民政府药品监督管理部门备案。</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第三方平台提供者应当依法对申请进入平台经营的药品上市许可持有人、药品经营企业的资质等进行审核，保证其符合法定要求，并对发生在平台的药品经营行为进行管理。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第六十三条　新发现和从境外引种的药材，经国务院药品监督管理部门批准后，方可销售。</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第六十四条　药品应当从允许药品进口的口岸进口，并由进口药品的企业向口岸所在地药品监督管理部门备案。海关凭药品监督管理部门出具的进口药品通关单办理通关手续。无进口药品通关单的，海关不得放行。</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口岸所在地药品监督管理部门应当通知药品检验机构按照国务院药品监督管理部门的规定对进口药品进行抽查检验。</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允许药品进口的口岸由国务院药品监督管理部门会同海关总署提出，报国务院批准。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第六十五条　医疗机构因临床急需进口少量药品的，经国务院药品监督管理部门或者国务院授权的省、自治区、直辖市人民政府批准，可以进口。进口的药品应当在指定医疗机构内用于特定医疗目的。</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个人自用携带入境少量药品，按照国家有关规定办理。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第六十六条　进口、出口麻醉药品和国家规定范围内的精神药品，应当持有国务院药品监督管理部门颁发的进口准许证、出口准许证。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第六十七条　禁止进口疗效不确切、不良反应大或者因其他原因危害人体健康的药品。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第六十八条　国务院药品监督管理部门对下列药品在销售前或者进口时，应当指定药品检验机构进行检验；未经检验或者检验不合格的，不得销售或者进口:</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（一）首次在中国境内销售的药品；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（二）国务院药品监督管理部门规定的生物制品；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（三）国务院规定的其他药品。</w:t>
      </w:r>
    </w:p>
    <w:p w:rsidR="00F153C4" w:rsidRPr="00F153C4" w:rsidRDefault="00F153C4" w:rsidP="00F153C4">
      <w:pPr>
        <w:widowControl/>
        <w:shd w:val="clear" w:color="auto" w:fill="FFFFFF"/>
        <w:spacing w:before="100" w:beforeAutospacing="1" w:after="100" w:afterAutospacing="1" w:line="480" w:lineRule="auto"/>
        <w:ind w:left="150" w:right="150"/>
        <w:jc w:val="center"/>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w:t>
      </w:r>
      <w:r w:rsidRPr="00F153C4">
        <w:rPr>
          <w:rFonts w:ascii="宋体" w:eastAsia="宋体" w:hAnsi="宋体" w:cs="Arial" w:hint="eastAsia"/>
          <w:b/>
          <w:bCs/>
          <w:color w:val="333333"/>
          <w:kern w:val="36"/>
          <w:sz w:val="24"/>
          <w:szCs w:val="24"/>
        </w:rPr>
        <w:t>第六章　医疗机构药事管理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第六十九条　医疗机构应当配备依法经过资格认定的药师或者其他药学技术人员，负责本单位的药品管理、处方审核和调配、合理用药指导等工作。非药学技术人员不得直接从事药剂技术工作。</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第七十条　医疗机构购进药品，应当建立并执行进货检查验收制度，验明药品合格证明和其他标识；不符合规定要求的，不得购进和使用。</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第七十一条　医疗机构应当有与所使用药品相适应的场所、设备、仓储设施和卫生环境，制定和执行药品保管制度，采取必要的冷藏、防冻、防潮、防虫、防鼠等措施，保证药品质量。</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第七十二条　医疗机构应当坚持安全有效、经济合理的用药原则，遵循药品临床应用指导原则、临床诊疗指南和药品说明书等合理用药，对医师处方、用药医嘱的适宜性进行审核。</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医疗机构以外的其他药品使用单位，应当遵守本法有关医疗机构使用药品的规定。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第七十三条　依法经过资格认定的药师或者其他药学技术人员调配处方，应当进行核对，对处方所列药品不得擅自更改或者代用。对有配伍禁忌或者</w:t>
      </w:r>
      <w:r w:rsidRPr="00F153C4">
        <w:rPr>
          <w:rFonts w:ascii="宋体" w:eastAsia="宋体" w:hAnsi="宋体" w:cs="Arial" w:hint="eastAsia"/>
          <w:color w:val="333333"/>
          <w:kern w:val="36"/>
          <w:sz w:val="24"/>
          <w:szCs w:val="24"/>
        </w:rPr>
        <w:lastRenderedPageBreak/>
        <w:t>超剂量的处方，应当拒绝调配；必要时，经处方医师更正或者重新签字，方可调配。</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第七十四条　医疗机构配制制剂，应当经所在地省、自治区、直辖市人民政府药品监督管理部门批准，取得医疗机构制剂许可证。无医疗机构制剂许可证的，不得配制制剂。</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医疗机构制剂许可证应当标明有效期，到期重新审查发证。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第七十五条　医疗机构配制制剂，应当有能够保证制剂质量的设施、管理制度、检验仪器和卫生环境。</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医疗机构配制制剂，应当按照经核准的工艺进行，所需的原料、辅料和包装材料等应当符合药用要求。</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第七十六条　医疗机构配制的制剂，应当是本单位临床需要而市场上没有供应的品种，并应当经所在地省、自治区、直辖市人民政府药品监督管理部门批准；但是，法律对配制中药制剂另有规定的除外。</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医疗机构配制的制剂不得在市场上销售。</w:t>
      </w:r>
    </w:p>
    <w:p w:rsidR="00F153C4" w:rsidRPr="00F153C4" w:rsidRDefault="00F153C4" w:rsidP="00F153C4">
      <w:pPr>
        <w:widowControl/>
        <w:shd w:val="clear" w:color="auto" w:fill="FFFFFF"/>
        <w:spacing w:before="100" w:beforeAutospacing="1" w:after="100" w:afterAutospacing="1" w:line="480" w:lineRule="auto"/>
        <w:ind w:left="150" w:right="150"/>
        <w:jc w:val="center"/>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w:t>
      </w:r>
      <w:r w:rsidRPr="00F153C4">
        <w:rPr>
          <w:rFonts w:ascii="宋体" w:eastAsia="宋体" w:hAnsi="宋体" w:cs="Arial" w:hint="eastAsia"/>
          <w:b/>
          <w:bCs/>
          <w:color w:val="333333"/>
          <w:kern w:val="36"/>
          <w:sz w:val="24"/>
          <w:szCs w:val="24"/>
        </w:rPr>
        <w:t>第七章　药品上市后管理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第七十七条　药品上市许可持有人应当制定药品上市后风险管理计划，主动开展药品上市后研究，对药品的安全性、有效性和质量可控性进行进一步确证，加强对已上市药品的持续管理。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第七十八条　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第七十九条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药品上市许可持有人应当按照国务院药品监督管理部门的规定，全面评估、验证变更事项对药品安全性、有效性和质量可控性的影响。</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第八十条　药品上市许可持有人应当开展药品上市后不良反应监测，主动收集、跟踪分析疑似药品不良反应信息，对已识别风险的药品及时采取风险控制措施。</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第八十一条　药品上市许可持有人、药品生产企业、药品经营企业和医疗机构应当经常考察本单位所生产、经营、使用的药品质量、疗效和不良反应。发现疑似不良反应的，应当及时向药品监督管理部门和卫生健康主管部</w:t>
      </w:r>
      <w:r w:rsidRPr="00F153C4">
        <w:rPr>
          <w:rFonts w:ascii="宋体" w:eastAsia="宋体" w:hAnsi="宋体" w:cs="Arial" w:hint="eastAsia"/>
          <w:color w:val="333333"/>
          <w:kern w:val="36"/>
          <w:sz w:val="24"/>
          <w:szCs w:val="24"/>
        </w:rPr>
        <w:lastRenderedPageBreak/>
        <w:t>门报告。具体办法由国务院药品监督管理部门会同国务院卫生健康主管部门制定。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第八十二条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药品上市许可持有人依法应当召回药品而未召回的，省、自治区、直辖市人民政府药品监督管理部门应当责令其召回。</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第八十三条　药品上市许可持有人应当对已上市药品的安全性、有效性和质量可控性定期开展上市后评价。必要时，国务院药品监督管理部门可以责令药品上市许可持有人开展上市后评价或者直接组织开展上市后评价。</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经评价，对疗效不确切、不良反应大或者因其他原因危害人体健康的药品，应当注销药品注册证书。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已被注销药品注册证书的药品，不得生产或者进口、销售和使用。</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已被注销药品注册证书、超过有效期等的药品，应当由药品监督管理部门监督销毁或者依法采取其他无害化处理等措施。</w:t>
      </w:r>
    </w:p>
    <w:p w:rsidR="00F153C4" w:rsidRPr="00F153C4" w:rsidRDefault="00F153C4" w:rsidP="00F153C4">
      <w:pPr>
        <w:widowControl/>
        <w:shd w:val="clear" w:color="auto" w:fill="FFFFFF"/>
        <w:spacing w:before="100" w:beforeAutospacing="1" w:after="100" w:afterAutospacing="1" w:line="480" w:lineRule="auto"/>
        <w:ind w:left="150" w:right="150"/>
        <w:jc w:val="center"/>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w:t>
      </w:r>
      <w:r w:rsidRPr="00F153C4">
        <w:rPr>
          <w:rFonts w:ascii="宋体" w:eastAsia="宋体" w:hAnsi="宋体" w:cs="Arial" w:hint="eastAsia"/>
          <w:b/>
          <w:bCs/>
          <w:color w:val="333333"/>
          <w:kern w:val="36"/>
          <w:sz w:val="24"/>
          <w:szCs w:val="24"/>
        </w:rPr>
        <w:t>第八章　药品价格和广告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第八十四条　国家完善药品采购管理制度，对药品价格进行监测，开展成本价格调查，加强药品价格监督检查，依法查处价格垄断、哄抬价格等药品价格违法行为，维护药品价格秩序。</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第八十五条　依法实行市场调节价的药品，药品上市许可持有人、药品生产企业、药品经营企业和医疗机构应当按照公平、合理和诚实信用、质价相符的原则制定价格，为用药者提供价格合理的药品。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药品上市许可持有人、药品生产企业、药品经营企业和医疗机构应当遵守国务院药品价格主管部门关于药品价格管理的规定，制定和标明药品零售价格，禁止暴利、价格垄断和价格欺诈等行为。</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第八十六条　药品上市许可持有人、药品生产企业、药品经营企业和医疗机构应当依法向药品价格主管部门提供其药品的实际购销价格和购销数量等资料。</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第八十七条　医疗机构应当向患者提供所用药品的价格清单，按照规定如实公布其常用药品的价格，加强合理用药管理。具体办法由国务院卫生健康主管部门制定。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第八十八条　禁止药品上市许可持有人、药品生产企业、药品经营企业和医疗机构在药品购销中给予、收受回扣或者其他不正当利益。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第八十九条　药品广告应当经广告主所在地省、自治区、直辖市人民政府确定的广告审查机关批准；未经批准的，不得发布。</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第九十条　药品广告的内容应当真实、合法，以国务院药品监督管理部门核准的药品说明书为准，不得含有虚假的内容。</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药品广告不得含有表示功效、安全性的断言或者保证；不得利用国家机关、科研单位、学术机构、行业协会或者专家、学者、医师、药师、患者等的名义或者形象作推荐、证明。</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非药品广告不得有涉及药品的宣传。</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第九十一条　药品价格和广告，本法未作规定的，适用《中华人民共和国价格法》、《中华人民共和国反垄断法》、《中华人民共和国反不正当竞争法》、《中华人民共和国广告法》等的规定。</w:t>
      </w:r>
    </w:p>
    <w:p w:rsidR="00F153C4" w:rsidRPr="00F153C4" w:rsidRDefault="00F153C4" w:rsidP="00F153C4">
      <w:pPr>
        <w:widowControl/>
        <w:shd w:val="clear" w:color="auto" w:fill="FFFFFF"/>
        <w:spacing w:before="100" w:beforeAutospacing="1" w:after="100" w:afterAutospacing="1" w:line="480" w:lineRule="auto"/>
        <w:ind w:left="150" w:right="150"/>
        <w:jc w:val="center"/>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w:t>
      </w:r>
      <w:r w:rsidRPr="00F153C4">
        <w:rPr>
          <w:rFonts w:ascii="宋体" w:eastAsia="宋体" w:hAnsi="宋体" w:cs="Arial" w:hint="eastAsia"/>
          <w:b/>
          <w:bCs/>
          <w:color w:val="333333"/>
          <w:kern w:val="36"/>
          <w:sz w:val="24"/>
          <w:szCs w:val="24"/>
        </w:rPr>
        <w:t>第九章　药品储备和供应</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第九十二条　国家实行药品储备制度，建立中央和地方两级药品储备。</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发生重大灾情、疫情或者其他突发事件时，依照《中华人民共和国突发事件应对法》的规定，可以紧急调用药品。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第九十三条　国家实行基本药物制度，遴选适当数量的基本药物品种，加强组织生产和储备，提高基本药物的供给能力，满足疾病防治基本用药需求。</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第九十四条　国家建立药品供求监测体系，及时收集和汇总分析短缺药品供求信息，对短缺药品实行预警，采取应对措施。</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第九十五条　国家实行短缺药品清单管理制度。具体办法由国务院卫生健康主管部门会同国务院药品监督管理部门等部门制定。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药品上市许可持有人停止生产短缺药品的，应当按照规定向国务院药品监督管理部门或者省、自治区、直辖市人民政府药品监督管理部门报告。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第九十六条　国家鼓励短缺药品的研制和生产，对临床急需的短缺药品、防治重大传染病和罕见病等疾病的新药予以优先审评审批。</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第九十七条　对短缺药品，国务院可以限制或者禁止出口。必要时，国务院有关部门可以采取组织生产、价格干预和扩大进口等措施，保障药品供应。</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药品上市许可持有人、药品生产企业、药品经营企业应当按照规定保障药品的生产和供应。</w:t>
      </w:r>
    </w:p>
    <w:p w:rsidR="00F153C4" w:rsidRPr="00F153C4" w:rsidRDefault="00F153C4" w:rsidP="00F153C4">
      <w:pPr>
        <w:widowControl/>
        <w:shd w:val="clear" w:color="auto" w:fill="FFFFFF"/>
        <w:spacing w:before="100" w:beforeAutospacing="1" w:after="100" w:afterAutospacing="1" w:line="480" w:lineRule="auto"/>
        <w:ind w:left="150" w:right="150"/>
        <w:jc w:val="center"/>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w:t>
      </w:r>
      <w:r w:rsidRPr="00F153C4">
        <w:rPr>
          <w:rFonts w:ascii="宋体" w:eastAsia="宋体" w:hAnsi="宋体" w:cs="Arial" w:hint="eastAsia"/>
          <w:b/>
          <w:bCs/>
          <w:color w:val="333333"/>
          <w:kern w:val="36"/>
          <w:sz w:val="24"/>
          <w:szCs w:val="24"/>
        </w:rPr>
        <w:t>第十章　监督管理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第九十八条　禁止生产（包括配制，下同）、销售、使用假药、劣药。</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有下列情形之一的，为假药:</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（一）药品所含成份与国家药品标准规定的成份不符；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（二）以非药品冒充药品或者以他种药品冒充此种药品；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（三）变质的药品；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（四）药品所标明的适应症或者功能主治超出规定范围。</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有下列情形之一的，为劣药：</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（一）药品成份的含量不符合国家药品标准；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（二）被污染的药品；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（三）未标明或者更改有效期的药品；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（四）未注明或者更改产品批号的药品；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（五）超过有效期的药品；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（六）擅自添加防腐剂、辅料的药品；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（七）其他不符合药品标准的药品。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禁止未取得药品批准证明文件生产、进口药品；禁止使用未按照规定审评、审批的原料药、包装材料和容器生产药品。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药品监督管理部门应当对高风险的药品实施重点监督检查。</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对有证据证明可能存在安全隐患的，药品监督管理部门根据监督检查情况，应当采取告诫、约谈、限期整改以及暂停生产、销售、使用、进口等措施，并及时公布检查处理结果。</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药品监督管理部门进行监督检查时，应当出示证明文件，对监督检查中知悉的商业秘密应当保密。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第一百条　药品监督管理部门根据监督管理的需要，可以对药品质量进行抽查检验。抽查检验应当按照规定抽样，并不得收取任何费用；抽样应当购买样品。所需费用按照国务院规定列支。</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对有证据证明可能危害人体健康的药品及其有关材料，药品监督管理部门可以查封、扣押，并在七日内作出行政处理决定；药品需要检验的，应当自检验报告书发出之日起十五日内作出行政处理决定。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第一百零一条　国务院和省、自治区、直辖市人民政府的药品监督管理部门应当定期公告药品质量抽查检验结果；公告不当的，应当在原公告范围内予以更正。</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第一百零二条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第一百零三条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第一百零四条　国家建立职业化、专业化药品检查员队伍。检查员应当熟悉药品法律法规，具备药品专业知识。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第一百零五条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第一百零六条　药品监督管理部门应当公布本部门的电子邮件地址、电话，接受咨询、投诉、举报，并依法及时答复、核实、处理。对查证属实的举报，按照有关规定给予举报人奖励。</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药品监督管理部门应当对举报人的信息予以保密，保护举报人的合法权益。举报人举报所在单位的，该单位不得以解除、变更劳动合同或者其他方式对举报人进行打击报复。</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第一百零七条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公布药品安全信息，应当及时、准确、全面，并进行必要的说明，避免误导。</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任何单位和个人不得编造、散布虚假药品安全信息。</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第一百零八条　县级以上人民政府应当制定药品安全事件应急预案。药品上市许可持有人、药品生产企业、药品经营企业和医疗机构等应当制定本单位的药品安全事件处置方案，并组织开展培训和应急演练。</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发生药品安全事件，县级以上人民政府应当按照应急预案立即组织开展应对工作；有关单位应当立即采取有效措施进行处置，防止危害扩大。</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第一百零九条　药品监督管理部门未及时发现药品安全系统性风险，未及时消除监督管理区域内药品安全隐患的，本级人民政府或者上级人民政府药品监督管理部门应当对其主要负责人进行约谈。</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地方人民政府未履行药品安全职责，未及时消除区域性重大药品安全隐患的，上级人民政府或者上级人民政府药品监督管理部门应当对其主要负责人进行约谈。</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被约谈的部门和地方人民政府应当立即采取措施，对药品监督管理工作进行整改。</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约谈情况和整改情况应当纳入有关部门和地方人民政府药品监督管理工作评议、考核记录。</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第一百一十条　地方人民政府及其药品监督管理部门不得以要求实施药品检验、审批等手段限制或者排斥非本地区药品上市许可持有人、药品生产企业生产的药品进入本地区。</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第一百一十一条　药品监督管理部门及其设置或者指定的药品专业技术机构不得参与药品生产经营活动，不得以其名义推荐或者监制、监销药品。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药品监督管理部门及其设置或者指定的药品专业技术机构的工作人员不得参与药品生产经营活动。</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第一百一十二条　国务院对麻醉药品、精神药品、医疗用毒性药品、放射性药品、药品类易制毒化学品等有其他特殊管理规定的，依照其规定。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第一百一十三条　药品监督管理部门发现药品违法行为涉嫌犯罪的，应当及时将案件移送公安机关。</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对依法不需要追究刑事责任或者免予刑事处罚，但应当追究行政责任的，公安机关、人民检察院、人民法院应当及时将案件移送药品监督管理部门。</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公安机关、人民检察院、人民法院商请药品监督管理部门、生态环境主管部门等部门提供检验结论、认定意见以及对涉案药品进行无害化处理等协助的，有关部门应当及时提供，予以协助。</w:t>
      </w:r>
    </w:p>
    <w:p w:rsidR="00F153C4" w:rsidRPr="00F153C4" w:rsidRDefault="00F153C4" w:rsidP="00F153C4">
      <w:pPr>
        <w:widowControl/>
        <w:shd w:val="clear" w:color="auto" w:fill="FFFFFF"/>
        <w:spacing w:before="100" w:beforeAutospacing="1" w:after="100" w:afterAutospacing="1" w:line="480" w:lineRule="auto"/>
        <w:ind w:left="150" w:right="150"/>
        <w:jc w:val="center"/>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w:t>
      </w:r>
      <w:r w:rsidRPr="00F153C4">
        <w:rPr>
          <w:rFonts w:ascii="宋体" w:eastAsia="宋体" w:hAnsi="宋体" w:cs="Arial" w:hint="eastAsia"/>
          <w:b/>
          <w:bCs/>
          <w:color w:val="333333"/>
          <w:kern w:val="36"/>
          <w:sz w:val="24"/>
          <w:szCs w:val="24"/>
        </w:rPr>
        <w:t>第十一章　法律责任</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第一百一十四条　违反本法规定，构成犯罪的，依法追究刑事责任。</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第一百一十六条　生产、销售假药的，没收违法生产、销售的药品和违法所得，责令停产停业整顿，吊销药品批准证明文件，并处违法生产、销售的药品货值金额十五倍以上三十倍以下的罚款；货值金额不足十万元的，按</w:t>
      </w:r>
      <w:r w:rsidRPr="00F153C4">
        <w:rPr>
          <w:rFonts w:ascii="宋体" w:eastAsia="宋体" w:hAnsi="宋体" w:cs="Arial" w:hint="eastAsia"/>
          <w:color w:val="333333"/>
          <w:kern w:val="36"/>
          <w:sz w:val="24"/>
          <w:szCs w:val="24"/>
        </w:rPr>
        <w:lastRenderedPageBreak/>
        <w:t>十万元计算；情节严重的，吊销药品生产许可证、药品经营许可证或者医疗机构制剂许可证，十年内不受理其相应申请；药品上市许可持有人为境外企业的，十年内禁止其药品进口。</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生产、销售的中药饮片不符合药品标准，尚不影响安全性、有效性的，责令限期改正，给予警告；可以处十万元以上五十万元以下的罚款。</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对生产者专门用于生产假药、劣药的原料、辅料、包装材料、生产设备予以没收。</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第一百一十九条　药品使用单位使用假药、劣药的，按照销售假药、零售劣药的规定处罚；情节严重的，法定代表人、主要负责人、直接负责的主管人员和其他责任人员有医疗卫生人员执业证书的，还应当吊销执业证书。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第一百二十一条　对假药、劣药的处罚决定，应当依法载明药品检验机构的质量检验结论。</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第一百二十三条　提供虚假的证明、数据、资料、样品或者采取其他手段骗取临床试验许可、药品生产许可、药品经营许可、医疗机构制剂许可或者药品注册等许可的，撤销相关许可，十年内不受理其相应申请，并处五十</w:t>
      </w:r>
      <w:r w:rsidRPr="00F153C4">
        <w:rPr>
          <w:rFonts w:ascii="宋体" w:eastAsia="宋体" w:hAnsi="宋体" w:cs="Arial" w:hint="eastAsia"/>
          <w:color w:val="333333"/>
          <w:kern w:val="36"/>
          <w:sz w:val="24"/>
          <w:szCs w:val="24"/>
        </w:rPr>
        <w:lastRenderedPageBreak/>
        <w:t>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（一）未取得药品批准证明文件生产、进口药品；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（二）使用采取欺骗手段取得的药品批准证明文件生产、进口药品；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（三）使用未经审评审批的原料药生产药品；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（四）应当检验而未经检验即销售药品；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（五）生产、销售国务院药品监督管理部门禁止使用的药品；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（六）编造生产、检验记录；</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（七）未经批准在药品生产过程中进行重大变更。</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未经批准进口少量境外已合法上市的药品，情节较轻的，可以依法减轻或者免予处罚。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（一）未经批准开展药物临床试验；</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（二）使用未经审评的直接接触药品的包装材料或者容器生产药品，或者销售该类药品；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（三）使用未经核准的标签、说明书。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第一百二十六条　除本法另有规定的情形外，药品上市许可持有人、药品生产企业、药品经营企业、药物非临床安全性评价研究机构、药物临床试</w:t>
      </w:r>
      <w:r w:rsidRPr="00F153C4">
        <w:rPr>
          <w:rFonts w:ascii="宋体" w:eastAsia="宋体" w:hAnsi="宋体" w:cs="Arial" w:hint="eastAsia"/>
          <w:color w:val="333333"/>
          <w:kern w:val="36"/>
          <w:sz w:val="24"/>
          <w:szCs w:val="24"/>
        </w:rPr>
        <w:lastRenderedPageBreak/>
        <w:t>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第一百二十七条　违反本法规定，有下列行为之一的，责令限期改正，给予警告；逾期不改正的，处十万元以上五十万元以下的罚款：</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（一）开展生物等效性试验未备案；</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（二）药物临床试验期间，发现存在安全性问题或者其他风险，临床试验申办者未及时调整临床试验方案、暂停或者终止临床试验，或者未向国务院药品监督管理部门报告；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（三）未按照规定建立并实施药品追溯制度；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（四）未按照规定提交年度报告；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（五）未按照规定对药品生产过程中的变更进行备案或者报告；</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（六）未制定药品上市后风险管理计划；</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（七）未按照规定开展药品上市后研究或者上市后评价。</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第一百二十八条　除依法应当按照假药、劣药处罚的外，药品包装未按照规定印有、贴有标签或者附有说明书，标签、说明书未按照规定注明相关信息或者印有规定标志的，责令改正，给予警告；情节严重的，吊销药品注册证书。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第一百三十条　违反本法规定，药品经营企业购销药品未按照规定进行记录，零售药品未正确说明用法、用量等事项，或者未按照规定调配处方的，责令改正，给予警告；情节严重的，吊销药品经营许可证。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第一百三十一条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第一百三十二条　进口已获得药品注册证书的药品，未按照规定向允许药品进口的口岸所在地药品监督管理部门备案的，责令限期改正，给予警告；逾期不改正的，吊销药品注册证书。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第一百三十三条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第一百三十四条　药品上市许可持有人未按照规定开展药品不良反应监测或者报告疑似药品不良反应的，责令限期改正，给予警告；逾期不改正的，责令停产停业整顿，并处十万元以上一百万元以下的罚款。</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药品经营企业未按照规定报告疑似药品不良反应的，责令限期改正，给予警告；逾期不改正的，责令停产停业整顿，并处五万元以上五十万元以下的罚款。</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医疗机构未按照规定报告疑似药品不良反应的，责令限期改正，给予警告；逾期不改正的，处五万元以上五十万元以下的罚款。</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第一百三十五条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w:t>
      </w:r>
      <w:r w:rsidRPr="00F153C4">
        <w:rPr>
          <w:rFonts w:ascii="宋体" w:eastAsia="宋体" w:hAnsi="宋体" w:cs="Arial" w:hint="eastAsia"/>
          <w:color w:val="333333"/>
          <w:kern w:val="36"/>
          <w:sz w:val="24"/>
          <w:szCs w:val="24"/>
        </w:rPr>
        <w:lastRenderedPageBreak/>
        <w:t>以下的罚款。药品生产企业、药品经营企业、医疗机构拒不配合召回的，处十万元以上五十万元以下的罚款。</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第一百三十六条　药品上市许可持有人为境外企业的，其指定的在中国境内的企业法人未依照本法规定履行相关义务的，适用本法有关药品上市许可持有人法律责任的规定。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第一百三十七条　有下列行为之一的，在本法规定的处罚幅度内从重处罚：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（一）以麻醉药品、精神药品、医疗用毒性药品、放射性药品、药品类易制毒化学品冒充其他药品，或者以其他药品冒充上述药品；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（二）生产、销售以孕产妇、儿童为主要使用对象的假药、劣药；</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（三）生产、销售的生物制品属于假药、劣药；</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（四）生产、销售假药、劣药，造成人身伤害后果；</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（五）生产、销售假药、劣药，经处理后再犯；</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（六）拒绝、逃避监督检查，伪造、销毁、隐匿有关证据材料，或者擅自动用查封、扣押物品。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第一百三十八条　药品检验机构出具虚假检验报告的，责令改正，给予警告，对单位并处二十万元以上一百万元以下的罚款；对直接负责的主管人员和其他直接责任人员依法给予降级、撤职、开除处分，没收违法所得，并</w:t>
      </w:r>
      <w:r w:rsidRPr="00F153C4">
        <w:rPr>
          <w:rFonts w:ascii="宋体" w:eastAsia="宋体" w:hAnsi="宋体" w:cs="Arial" w:hint="eastAsia"/>
          <w:color w:val="333333"/>
          <w:kern w:val="36"/>
          <w:sz w:val="24"/>
          <w:szCs w:val="24"/>
        </w:rPr>
        <w:lastRenderedPageBreak/>
        <w:t>处五万元以下的罚款；情节严重的，撤销其检验资格。药品检验机构出具的检验结果不实，造成损失的，应当承担相应的赔偿责任。</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第一百三十九条　本法第一百一十五条至第一百三十八条规定的行政处罚，由县级以上人民政府药品监督管理部门按照职责分工决定；撤销许可、吊销许可证件的，由原批准、发证的部门决定。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第一百四十条　药品上市许可持有人、药品生产企业、药品经营企业或者医疗机构违反本法规定聘用人员的，由药品监督管理部门或者卫生健康主管部门责令解聘，处五万元以上二十万元以下的罚款。</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第一百四十一条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药品上市许可持有人、药品生产企业、药品经营企业在药品研制、生产、经营中向国家工作人员行贿的，对法定代表人、主要负责人、直接负责的主管人员和其他责任人员终身禁止从事药品生产经营活动。</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第一百四十三条　违反本法规定，编造、散布虚假药品安全信息，构成违反治安管理行为的，由公安机关依法给予治安管理处罚。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第一百四十四条　药品上市许可持有人、药品生产企业、药品经营企业或者医疗机构违反本法规定，给用药者造成损害的，依法承担赔偿责任。</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生产假药、劣药或者明知是假药、劣药仍然销售、使用的，受害人或者其近亲属除请求赔偿损失外，还可以请求支付价款十倍或者损失三倍的赔偿金；增加赔偿的金额不足一千元的，为一千元。</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第一百四十五条　药品监督管理部门或者其设置、指定的药品专业技术机构参与药品生产经营活动的，由其上级主管机关责令改正，没收违法收入；情节严重的，对直接负责的主管人员和其他直接责任人员依法给予处分。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药品监督管理部门或者其设置、指定的药品专业技术机构的工作人员参与药品生产经营活动的，依法给予处分。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第一百四十六条　药品监督管理部门或者其设置、指定的药品检验机构在药品监督检验中违法收取检验费用的，由政府有关部门责令退还，对直接负责的主管人员和其他直接责任人员依法给予处分；情节严重的，撤销其检验资格。</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第一百四十七条　违反本法规定，药品监督管理部门有下列行为之一的，应当撤销相关许可，对直接负责的主管人员和其他直接责任人员依法给予处分：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（一）不符合条件而批准进行药物临床试验；</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（二）对不符合条件的药品颁发药品注册证书；</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（三）对不符合条件的单位颁发药品生产许可证、药品经营许可证或者医疗机构制剂许可证。</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第一百四十八条　违反本法规定，县级以上地方人民政府有下列行为之一的，对直接负责的主管人员和其他直接责任人员给予记过或者记大过处分；情节严重的，给予降级、撤职或者开除处分：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（一）瞒报、谎报、缓报、漏报药品安全事件；</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（二）未及时消除区域性重大药品安全隐患，造成本行政区域内发生特别重大药品安全事件，或者连续发生重大药品安全事件；</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（三）履行职责不力，造成严重不良影响或者重大损失。</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第一百四十九条　违反本法规定，药品监督管理等部门有下列行为之一的，对直接负责的主管人员和其他直接责任人员给予记过或者记大过处分；情节较重的，给予降级或者撤职处分；情节严重的，给予开除处分：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（一）瞒报、谎报、缓报、漏报药品安全事件；</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（二）对发现的药品安全违法行为未及时查处；</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（三）未及时发现药品安全系统性风险，或者未及时消除监督管理区域内药品安全隐患，造成严重影响；</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（四）其他不履行药品监督管理职责，造成严重不良影响或者重大损失。</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第一百五十条　药品监督管理人员滥用职权、徇私舞弊、玩忽职守的，依法给予处分。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查处假药、劣药违法行为有失职、渎职行为的，对药品监督管理部门直接负责的主管人员和其他直接责任人员依法从重给予处分。</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第一百五十一条　本章规定的货值金额以违法生产、销售药品的标价计算；没有标价的，按照同类药品的市场价格计算。</w:t>
      </w:r>
    </w:p>
    <w:p w:rsidR="00F153C4" w:rsidRPr="00F153C4" w:rsidRDefault="00F153C4" w:rsidP="00F153C4">
      <w:pPr>
        <w:widowControl/>
        <w:shd w:val="clear" w:color="auto" w:fill="FFFFFF"/>
        <w:spacing w:before="100" w:beforeAutospacing="1" w:after="100" w:afterAutospacing="1" w:line="480" w:lineRule="auto"/>
        <w:ind w:left="150" w:right="150"/>
        <w:jc w:val="center"/>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lastRenderedPageBreak/>
        <w:t xml:space="preserve">　　</w:t>
      </w:r>
      <w:r w:rsidRPr="00F153C4">
        <w:rPr>
          <w:rFonts w:ascii="宋体" w:eastAsia="宋体" w:hAnsi="宋体" w:cs="Arial" w:hint="eastAsia"/>
          <w:b/>
          <w:bCs/>
          <w:color w:val="333333"/>
          <w:kern w:val="36"/>
          <w:sz w:val="24"/>
          <w:szCs w:val="24"/>
        </w:rPr>
        <w:t>第十二章　附　　则</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第一百五十二条　中药材种植、采集和饲养的管理，依照有关法律、法规的规定执行。</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第一百五十三条　地区性民间习用药材的管理办法，由国务院药品监督管理部门会同国务院中医药主管部门制定。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第一百五十四条　中国人民解放军和中国人民武装警察部队执行本法的具体办法，由国务院、中央军事委员会依据本法制定。</w:t>
      </w:r>
    </w:p>
    <w:p w:rsidR="00F153C4" w:rsidRPr="00F153C4" w:rsidRDefault="00F153C4" w:rsidP="00F153C4">
      <w:pPr>
        <w:widowControl/>
        <w:shd w:val="clear" w:color="auto" w:fill="FFFFFF"/>
        <w:spacing w:before="100" w:beforeAutospacing="1" w:after="100" w:afterAutospacing="1" w:line="480" w:lineRule="auto"/>
        <w:ind w:left="150" w:right="150"/>
        <w:outlineLvl w:val="1"/>
        <w:rPr>
          <w:rFonts w:ascii="宋体" w:eastAsia="宋体" w:hAnsi="宋体" w:cs="Arial" w:hint="eastAsia"/>
          <w:b/>
          <w:bCs/>
          <w:color w:val="333333"/>
          <w:kern w:val="36"/>
          <w:sz w:val="24"/>
          <w:szCs w:val="24"/>
        </w:rPr>
      </w:pPr>
      <w:r w:rsidRPr="00F153C4">
        <w:rPr>
          <w:rFonts w:ascii="宋体" w:eastAsia="宋体" w:hAnsi="宋体" w:cs="Arial" w:hint="eastAsia"/>
          <w:color w:val="333333"/>
          <w:kern w:val="36"/>
          <w:sz w:val="24"/>
          <w:szCs w:val="24"/>
        </w:rPr>
        <w:t xml:space="preserve">　　第一百五十五条　本法自2019年12月1日起施行。</w:t>
      </w:r>
    </w:p>
    <w:p w:rsidR="00F153C4" w:rsidRPr="00F153C4" w:rsidRDefault="00F153C4" w:rsidP="00F153C4">
      <w:pPr>
        <w:widowControl/>
        <w:shd w:val="clear" w:color="auto" w:fill="FFFFFF"/>
        <w:spacing w:line="360" w:lineRule="atLeast"/>
        <w:rPr>
          <w:rFonts w:ascii="宋体" w:eastAsia="宋体" w:hAnsi="宋体" w:cs="宋体" w:hint="eastAsia"/>
          <w:color w:val="333333"/>
          <w:kern w:val="0"/>
          <w:szCs w:val="21"/>
        </w:rPr>
      </w:pPr>
      <w:r w:rsidRPr="00F153C4">
        <w:rPr>
          <w:rFonts w:ascii="宋体" w:eastAsia="宋体" w:hAnsi="宋体" w:cs="宋体" w:hint="eastAsia"/>
          <w:color w:val="333333"/>
          <w:kern w:val="0"/>
          <w:szCs w:val="21"/>
        </w:rPr>
        <w:t> </w:t>
      </w:r>
    </w:p>
    <w:p w:rsidR="00861F41" w:rsidRDefault="00861F41"/>
    <w:sectPr w:rsidR="00861F41" w:rsidSect="005D3F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921FC"/>
    <w:multiLevelType w:val="multilevel"/>
    <w:tmpl w:val="0D6A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C75F1"/>
    <w:multiLevelType w:val="multilevel"/>
    <w:tmpl w:val="DAE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00733"/>
    <w:multiLevelType w:val="multilevel"/>
    <w:tmpl w:val="9BD0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E22A7"/>
    <w:multiLevelType w:val="multilevel"/>
    <w:tmpl w:val="4A4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9D77BA"/>
    <w:multiLevelType w:val="multilevel"/>
    <w:tmpl w:val="DD74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C102B"/>
    <w:multiLevelType w:val="multilevel"/>
    <w:tmpl w:val="CB22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ED2CAA"/>
    <w:multiLevelType w:val="multilevel"/>
    <w:tmpl w:val="756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53C4"/>
    <w:rsid w:val="005D3FC0"/>
    <w:rsid w:val="00861F41"/>
    <w:rsid w:val="00AF5106"/>
    <w:rsid w:val="00F153C4"/>
    <w:rsid w:val="00F714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3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26365125">
      <w:bodyDiv w:val="1"/>
      <w:marLeft w:val="0"/>
      <w:marRight w:val="0"/>
      <w:marTop w:val="0"/>
      <w:marBottom w:val="0"/>
      <w:divBdr>
        <w:top w:val="none" w:sz="0" w:space="0" w:color="auto"/>
        <w:left w:val="none" w:sz="0" w:space="0" w:color="auto"/>
        <w:bottom w:val="none" w:sz="0" w:space="0" w:color="auto"/>
        <w:right w:val="none" w:sz="0" w:space="0" w:color="auto"/>
      </w:divBdr>
      <w:divsChild>
        <w:div w:id="350765073">
          <w:marLeft w:val="0"/>
          <w:marRight w:val="0"/>
          <w:marTop w:val="0"/>
          <w:marBottom w:val="0"/>
          <w:divBdr>
            <w:top w:val="none" w:sz="0" w:space="0" w:color="auto"/>
            <w:left w:val="none" w:sz="0" w:space="0" w:color="auto"/>
            <w:bottom w:val="none" w:sz="0" w:space="0" w:color="auto"/>
            <w:right w:val="none" w:sz="0" w:space="0" w:color="auto"/>
          </w:divBdr>
          <w:divsChild>
            <w:div w:id="1358627650">
              <w:marLeft w:val="0"/>
              <w:marRight w:val="0"/>
              <w:marTop w:val="0"/>
              <w:marBottom w:val="0"/>
              <w:divBdr>
                <w:top w:val="none" w:sz="0" w:space="0" w:color="auto"/>
                <w:left w:val="none" w:sz="0" w:space="0" w:color="auto"/>
                <w:bottom w:val="none" w:sz="0" w:space="0" w:color="auto"/>
                <w:right w:val="none" w:sz="0" w:space="0" w:color="auto"/>
              </w:divBdr>
              <w:divsChild>
                <w:div w:id="1013454438">
                  <w:marLeft w:val="0"/>
                  <w:marRight w:val="0"/>
                  <w:marTop w:val="0"/>
                  <w:marBottom w:val="0"/>
                  <w:divBdr>
                    <w:top w:val="single" w:sz="6" w:space="0" w:color="D3DCEA"/>
                    <w:left w:val="single" w:sz="6" w:space="0" w:color="D3DCEA"/>
                    <w:bottom w:val="single" w:sz="6" w:space="0" w:color="D3DCEA"/>
                    <w:right w:val="single" w:sz="6" w:space="0" w:color="D3DCEA"/>
                  </w:divBdr>
                  <w:divsChild>
                    <w:div w:id="400518609">
                      <w:marLeft w:val="0"/>
                      <w:marRight w:val="0"/>
                      <w:marTop w:val="0"/>
                      <w:marBottom w:val="0"/>
                      <w:divBdr>
                        <w:top w:val="none" w:sz="0" w:space="0" w:color="auto"/>
                        <w:left w:val="none" w:sz="0" w:space="0" w:color="auto"/>
                        <w:bottom w:val="none" w:sz="0" w:space="0" w:color="auto"/>
                        <w:right w:val="none" w:sz="0" w:space="0" w:color="auto"/>
                      </w:divBdr>
                    </w:div>
                    <w:div w:id="6379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3264</Words>
  <Characters>18607</Characters>
  <Application>Microsoft Office Word</Application>
  <DocSecurity>0</DocSecurity>
  <Lines>155</Lines>
  <Paragraphs>43</Paragraphs>
  <ScaleCrop>false</ScaleCrop>
  <Company/>
  <LinksUpToDate>false</LinksUpToDate>
  <CharactersWithSpaces>21828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luxinsheng</dc:creator>
  <cp:lastModifiedBy>luxinsheng</cp:lastModifiedBy>
  <cp:revision>1</cp:revision>
  <dcterms:created xsi:type="dcterms:W3CDTF">2020-01-13T07:24:00Z</dcterms:created>
  <dcterms:modified xsi:type="dcterms:W3CDTF">2020-01-13T07:26:00Z</dcterms:modified>
</cp:coreProperties>
</file>