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Arial"/>
          <w:b/>
          <w:bCs w:val="0"/>
          <w:color w:val="000000"/>
          <w:sz w:val="44"/>
          <w:szCs w:val="44"/>
        </w:rPr>
      </w:pPr>
      <w:r>
        <w:rPr>
          <w:rFonts w:hint="eastAsia" w:ascii="方正小标宋简体" w:hAnsi="宋体" w:eastAsia="方正小标宋简体" w:cs="Arial"/>
          <w:b/>
          <w:bCs w:val="0"/>
          <w:color w:val="000000"/>
          <w:sz w:val="44"/>
          <w:szCs w:val="44"/>
          <w:lang w:val="en-US" w:eastAsia="zh-CN"/>
        </w:rPr>
        <w:t>财政</w:t>
      </w:r>
      <w:r>
        <w:rPr>
          <w:rFonts w:hint="eastAsia" w:ascii="方正小标宋简体" w:hAnsi="宋体" w:eastAsia="方正小标宋简体" w:cs="Arial"/>
          <w:b/>
          <w:bCs w:val="0"/>
          <w:color w:val="000000"/>
          <w:sz w:val="44"/>
          <w:szCs w:val="44"/>
        </w:rPr>
        <w:t>项目支出绩效评价报告</w:t>
      </w:r>
    </w:p>
    <w:p>
      <w:pPr>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spacing w:line="600" w:lineRule="exact"/>
        <w:ind w:firstLine="160" w:firstLineChars="50"/>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旅游</w:t>
      </w:r>
      <w:r>
        <w:rPr>
          <w:rFonts w:hint="eastAsia" w:ascii="黑体" w:hAnsi="黑体" w:eastAsia="黑体" w:cs="黑体"/>
          <w:bCs/>
          <w:color w:val="000000"/>
          <w:sz w:val="32"/>
          <w:szCs w:val="32"/>
          <w:u w:val="single"/>
          <w:lang w:eastAsia="zh-CN"/>
        </w:rPr>
        <w:t>工作</w:t>
      </w:r>
      <w:r>
        <w:rPr>
          <w:rFonts w:hint="eastAsia" w:ascii="黑体" w:hAnsi="黑体" w:eastAsia="黑体" w:cs="黑体"/>
          <w:bCs/>
          <w:color w:val="000000"/>
          <w:sz w:val="32"/>
          <w:szCs w:val="32"/>
          <w:u w:val="single"/>
        </w:rPr>
        <w:t xml:space="preserve">经费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lang w:val="en-US" w:eastAsia="zh-CN"/>
        </w:rPr>
        <w:t xml:space="preserve">    </w:t>
      </w:r>
    </w:p>
    <w:p>
      <w:pPr>
        <w:spacing w:line="600" w:lineRule="exact"/>
        <w:ind w:firstLine="160" w:firstLineChars="50"/>
        <w:rPr>
          <w:rFonts w:hint="eastAsia" w:ascii="黑体" w:hAnsi="宋体" w:eastAsia="黑体" w:cs="Arial"/>
          <w:bCs/>
          <w:color w:val="000000"/>
          <w:sz w:val="32"/>
          <w:szCs w:val="32"/>
          <w:lang w:val="en-US" w:eastAsia="zh-CN"/>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业务类</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rPr>
        <w:t>实施单位：</w:t>
      </w:r>
      <w:r>
        <w:rPr>
          <w:rFonts w:hint="eastAsia" w:ascii="黑体" w:hAnsi="黑体" w:eastAsia="黑体" w:cs="黑体"/>
          <w:bCs/>
          <w:color w:val="000000"/>
          <w:sz w:val="32"/>
          <w:szCs w:val="32"/>
          <w:u w:val="single"/>
        </w:rPr>
        <w:t xml:space="preserve">   西湖区文化广电新闻出版旅游局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主管部门：</w:t>
      </w:r>
      <w:r>
        <w:rPr>
          <w:rFonts w:hint="eastAsia" w:ascii="黑体" w:hAnsi="宋体" w:eastAsia="黑体" w:cs="Arial"/>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西湖区文化广电新闻出版旅游局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（盖章）</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宋体" w:eastAsia="黑体" w:cs="Arial"/>
          <w:bCs/>
          <w:color w:val="000000"/>
          <w:sz w:val="32"/>
          <w:szCs w:val="32"/>
          <w:lang w:eastAsia="zh-CN"/>
        </w:rPr>
        <w:t>：</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西湖区文化广电新闻出版旅游局</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（盖章）</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2020年度</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p>
    <w:p>
      <w:pP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lang w:val="en-US" w:eastAsia="zh-CN"/>
        </w:rPr>
        <w:t>2021</w:t>
      </w:r>
      <w:r>
        <w:rPr>
          <w:rFonts w:hint="eastAsia" w:ascii="黑体" w:hAnsi="宋体" w:eastAsia="黑体" w:cs="Arial"/>
          <w:bCs/>
          <w:color w:val="000000"/>
          <w:sz w:val="32"/>
          <w:szCs w:val="32"/>
        </w:rPr>
        <w:t>年</w:t>
      </w:r>
      <w:r>
        <w:rPr>
          <w:rFonts w:hint="eastAsia" w:ascii="黑体" w:hAnsi="宋体" w:eastAsia="黑体" w:cs="Arial"/>
          <w:bCs/>
          <w:color w:val="000000"/>
          <w:sz w:val="32"/>
          <w:szCs w:val="32"/>
          <w:lang w:val="en-US" w:eastAsia="zh-CN"/>
        </w:rPr>
        <w:t>5</w:t>
      </w:r>
      <w:r>
        <w:rPr>
          <w:rFonts w:hint="eastAsia" w:ascii="黑体" w:hAnsi="宋体" w:eastAsia="黑体" w:cs="Arial"/>
          <w:bCs/>
          <w:color w:val="000000"/>
          <w:sz w:val="32"/>
          <w:szCs w:val="32"/>
        </w:rPr>
        <w:t>月</w:t>
      </w:r>
      <w:r>
        <w:rPr>
          <w:rFonts w:hint="eastAsia" w:ascii="黑体" w:hAnsi="宋体" w:eastAsia="黑体" w:cs="Arial"/>
          <w:bCs/>
          <w:color w:val="000000"/>
          <w:sz w:val="32"/>
          <w:szCs w:val="32"/>
          <w:lang w:val="en-US" w:eastAsia="zh-CN"/>
        </w:rPr>
        <w:t>28</w:t>
      </w:r>
      <w:r>
        <w:rPr>
          <w:rFonts w:hint="eastAsia" w:ascii="黑体" w:hAnsi="宋体" w:eastAsia="黑体" w:cs="Arial"/>
          <w:bCs/>
          <w:color w:val="000000"/>
          <w:sz w:val="32"/>
          <w:szCs w:val="32"/>
        </w:rPr>
        <w:t>日</w:t>
      </w:r>
    </w:p>
    <w:p>
      <w:pPr>
        <w:jc w:val="center"/>
        <w:rPr>
          <w:rFonts w:hint="eastAsia" w:ascii="黑体" w:hAnsi="宋体" w:eastAsia="黑体" w:cs="Arial"/>
          <w:bCs/>
          <w:color w:val="000000"/>
          <w:sz w:val="32"/>
          <w:szCs w:val="32"/>
        </w:rPr>
      </w:pPr>
    </w:p>
    <w:tbl>
      <w:tblPr>
        <w:tblStyle w:val="10"/>
        <w:tblW w:w="8928" w:type="dxa"/>
        <w:jc w:val="center"/>
        <w:tblLayout w:type="fixed"/>
        <w:tblCellMar>
          <w:top w:w="0" w:type="dxa"/>
          <w:left w:w="108" w:type="dxa"/>
          <w:bottom w:w="0" w:type="dxa"/>
          <w:right w:w="108" w:type="dxa"/>
        </w:tblCellMar>
      </w:tblPr>
      <w:tblGrid>
        <w:gridCol w:w="1629"/>
        <w:gridCol w:w="4215"/>
        <w:gridCol w:w="1384"/>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eastAsia="黑体"/>
                <w:color w:val="000000"/>
                <w:sz w:val="28"/>
                <w:szCs w:val="28"/>
              </w:rPr>
            </w:pPr>
            <w:r>
              <w:rPr>
                <w:rFonts w:hint="eastAsia" w:ascii="黑体" w:hAnsi="黑体" w:eastAsia="黑体" w:cs="黑体"/>
                <w:bCs/>
                <w:color w:val="000000"/>
                <w:sz w:val="28"/>
                <w:szCs w:val="28"/>
              </w:rPr>
              <w:t>项目绩效评价人员</w:t>
            </w: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姓  名</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单  位</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职称/职务</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签  名</w:t>
            </w: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lang w:eastAsia="zh-CN"/>
              </w:rPr>
              <w:t>张雷鸣</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bidi="ar"/>
              </w:rPr>
              <w:t>西湖区文广局</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bidi="ar"/>
              </w:rPr>
              <w:t>副局长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lang w:eastAsia="zh-CN"/>
              </w:rPr>
              <w:t>朱先毅</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bidi="ar"/>
              </w:rPr>
              <w:t>西湖区文广局</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eastAsia="zh-CN" w:bidi="ar"/>
              </w:rPr>
              <w:t>产业科</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bCs/>
                <w:color w:val="000000"/>
                <w:sz w:val="28"/>
                <w:szCs w:val="28"/>
                <w:u w:val="none"/>
                <w:lang w:val="en-US" w:eastAsia="zh-CN"/>
              </w:rPr>
            </w:pPr>
            <w:r>
              <w:rPr>
                <w:rFonts w:hint="eastAsia" w:ascii="仿宋" w:hAnsi="仿宋" w:eastAsia="仿宋" w:cs="仿宋"/>
                <w:bCs/>
                <w:color w:val="000000"/>
                <w:sz w:val="28"/>
                <w:szCs w:val="28"/>
                <w:u w:val="none"/>
                <w:lang w:val="en-US" w:eastAsia="zh-CN"/>
              </w:rPr>
              <w:t>谢灿灿</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bCs/>
                <w:color w:val="000000"/>
                <w:sz w:val="28"/>
                <w:szCs w:val="28"/>
                <w:u w:val="none"/>
                <w:lang w:val="en-US" w:eastAsia="zh-CN"/>
              </w:rPr>
            </w:pPr>
            <w:r>
              <w:rPr>
                <w:rFonts w:hint="eastAsia" w:ascii="仿宋" w:hAnsi="仿宋" w:eastAsia="仿宋" w:cs="仿宋"/>
                <w:b w:val="0"/>
                <w:bCs w:val="0"/>
                <w:color w:val="000000"/>
                <w:kern w:val="0"/>
                <w:sz w:val="28"/>
                <w:szCs w:val="28"/>
                <w:lang w:bidi="ar"/>
              </w:rPr>
              <w:t>西湖区文广局</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bCs/>
                <w:color w:val="000000"/>
                <w:sz w:val="28"/>
                <w:szCs w:val="28"/>
                <w:u w:val="none"/>
                <w:lang w:val="en-US" w:eastAsia="zh-CN"/>
              </w:rPr>
            </w:pPr>
            <w:r>
              <w:rPr>
                <w:rFonts w:hint="eastAsia" w:ascii="仿宋" w:hAnsi="仿宋" w:eastAsia="仿宋" w:cs="仿宋"/>
                <w:bCs/>
                <w:color w:val="000000"/>
                <w:sz w:val="28"/>
                <w:szCs w:val="28"/>
                <w:u w:val="none"/>
                <w:lang w:val="en-US" w:eastAsia="zh-CN"/>
              </w:rPr>
              <w:t>财务科</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1439"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评价组组长</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(签名):</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08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 xml:space="preserve">2021 </w:t>
            </w:r>
            <w:r>
              <w:rPr>
                <w:rFonts w:hint="eastAsia" w:ascii="黑体" w:hAnsi="宋体" w:eastAsia="黑体"/>
                <w:color w:val="000000"/>
                <w:sz w:val="28"/>
                <w:szCs w:val="28"/>
              </w:rPr>
              <w:t xml:space="preserve">年 </w:t>
            </w:r>
            <w:r>
              <w:rPr>
                <w:rFonts w:hint="eastAsia" w:ascii="黑体" w:hAnsi="宋体" w:eastAsia="黑体"/>
                <w:color w:val="000000"/>
                <w:sz w:val="28"/>
                <w:szCs w:val="28"/>
                <w:lang w:val="en-US" w:eastAsia="zh-CN"/>
              </w:rPr>
              <w:t>5</w:t>
            </w:r>
            <w:r>
              <w:rPr>
                <w:rFonts w:hint="eastAsia" w:ascii="黑体" w:hAnsi="宋体" w:eastAsia="黑体"/>
                <w:color w:val="000000"/>
                <w:sz w:val="28"/>
                <w:szCs w:val="28"/>
              </w:rPr>
              <w:t xml:space="preserve"> 月</w:t>
            </w:r>
            <w:r>
              <w:rPr>
                <w:rFonts w:hint="eastAsia" w:ascii="黑体" w:hAnsi="宋体" w:eastAsia="黑体"/>
                <w:color w:val="000000"/>
                <w:sz w:val="28"/>
                <w:szCs w:val="28"/>
                <w:lang w:val="en-US" w:eastAsia="zh-CN"/>
              </w:rPr>
              <w:t xml:space="preserve"> 28</w:t>
            </w:r>
            <w:r>
              <w:rPr>
                <w:rFonts w:hint="eastAsia" w:ascii="黑体" w:hAnsi="宋体" w:eastAsia="黑体"/>
                <w:color w:val="000000"/>
                <w:sz w:val="28"/>
                <w:szCs w:val="28"/>
              </w:rPr>
              <w:t xml:space="preserve"> 日</w:t>
            </w:r>
          </w:p>
        </w:tc>
      </w:tr>
      <w:tr>
        <w:tblPrEx>
          <w:tblCellMar>
            <w:top w:w="0" w:type="dxa"/>
            <w:left w:w="108" w:type="dxa"/>
            <w:bottom w:w="0" w:type="dxa"/>
            <w:right w:w="108" w:type="dxa"/>
          </w:tblCellMar>
        </w:tblPrEx>
        <w:trPr>
          <w:trHeight w:val="1602"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中介机构</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（盖章）:</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08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 xml:space="preserve">2021 </w:t>
            </w:r>
            <w:r>
              <w:rPr>
                <w:rFonts w:hint="eastAsia" w:ascii="黑体" w:hAnsi="宋体" w:eastAsia="黑体"/>
                <w:color w:val="000000"/>
                <w:sz w:val="28"/>
                <w:szCs w:val="28"/>
              </w:rPr>
              <w:t xml:space="preserve">年 </w:t>
            </w:r>
            <w:r>
              <w:rPr>
                <w:rFonts w:hint="eastAsia" w:ascii="黑体" w:hAnsi="宋体" w:eastAsia="黑体"/>
                <w:color w:val="000000"/>
                <w:sz w:val="28"/>
                <w:szCs w:val="28"/>
                <w:lang w:val="en-US" w:eastAsia="zh-CN"/>
              </w:rPr>
              <w:t>5</w:t>
            </w:r>
            <w:r>
              <w:rPr>
                <w:rFonts w:hint="eastAsia" w:ascii="黑体" w:hAnsi="宋体" w:eastAsia="黑体"/>
                <w:color w:val="000000"/>
                <w:sz w:val="28"/>
                <w:szCs w:val="28"/>
              </w:rPr>
              <w:t xml:space="preserve"> 月</w:t>
            </w:r>
            <w:r>
              <w:rPr>
                <w:rFonts w:hint="eastAsia" w:ascii="黑体" w:hAnsi="宋体" w:eastAsia="黑体"/>
                <w:color w:val="000000"/>
                <w:sz w:val="28"/>
                <w:szCs w:val="28"/>
                <w:lang w:val="en-US" w:eastAsia="zh-CN"/>
              </w:rPr>
              <w:t>28</w:t>
            </w:r>
            <w:r>
              <w:rPr>
                <w:rFonts w:hint="eastAsia" w:ascii="黑体" w:hAnsi="宋体" w:eastAsia="黑体"/>
                <w:color w:val="000000"/>
                <w:sz w:val="28"/>
                <w:szCs w:val="28"/>
              </w:rPr>
              <w:t xml:space="preserve"> 日</w:t>
            </w:r>
          </w:p>
        </w:tc>
      </w:tr>
    </w:tbl>
    <w:p>
      <w:pPr>
        <w:jc w:val="left"/>
        <w:rPr>
          <w:rFonts w:hint="eastAsia" w:ascii="黑体" w:hAnsi="宋体" w:eastAsia="黑体"/>
          <w:color w:val="000000"/>
          <w:sz w:val="24"/>
          <w:szCs w:val="24"/>
        </w:rPr>
      </w:pPr>
    </w:p>
    <w:p>
      <w:pPr>
        <w:widowControl/>
        <w:spacing w:line="240" w:lineRule="auto"/>
        <w:jc w:val="center"/>
        <w:rPr>
          <w:rFonts w:hint="eastAsia" w:ascii="仿宋" w:hAnsi="仿宋" w:eastAsia="仿宋" w:cs="仿宋"/>
          <w:b/>
          <w:color w:val="000000"/>
          <w:kern w:val="0"/>
          <w:sz w:val="44"/>
          <w:szCs w:val="44"/>
        </w:rPr>
      </w:pPr>
    </w:p>
    <w:p>
      <w:pPr>
        <w:widowControl/>
        <w:spacing w:line="240" w:lineRule="auto"/>
        <w:jc w:val="center"/>
        <w:rPr>
          <w:rFonts w:hint="eastAsia" w:ascii="仿宋" w:hAnsi="仿宋" w:eastAsia="仿宋" w:cs="仿宋"/>
          <w:b/>
          <w:color w:val="000000"/>
          <w:kern w:val="0"/>
          <w:sz w:val="44"/>
          <w:szCs w:val="44"/>
        </w:rPr>
      </w:pPr>
    </w:p>
    <w:p>
      <w:pPr>
        <w:widowControl/>
        <w:spacing w:line="240" w:lineRule="auto"/>
        <w:jc w:val="center"/>
        <w:rPr>
          <w:rFonts w:hint="eastAsia" w:ascii="仿宋" w:hAnsi="仿宋" w:eastAsia="仿宋" w:cs="仿宋"/>
          <w:b/>
          <w:color w:val="000000"/>
          <w:kern w:val="0"/>
          <w:sz w:val="44"/>
          <w:szCs w:val="44"/>
        </w:rPr>
      </w:pPr>
      <w:r>
        <w:rPr>
          <w:rFonts w:hint="eastAsia" w:ascii="仿宋" w:hAnsi="仿宋" w:eastAsia="仿宋" w:cs="仿宋"/>
          <w:b/>
          <w:color w:val="000000"/>
          <w:kern w:val="0"/>
          <w:sz w:val="44"/>
          <w:szCs w:val="44"/>
          <w:lang w:eastAsia="zh-CN"/>
        </w:rPr>
        <w:t>西湖区文化广电新闻出版旅游局</w:t>
      </w:r>
      <w:r>
        <w:rPr>
          <w:rFonts w:hint="eastAsia" w:ascii="仿宋" w:hAnsi="仿宋" w:eastAsia="仿宋" w:cs="仿宋"/>
          <w:b/>
          <w:color w:val="000000"/>
          <w:kern w:val="0"/>
          <w:sz w:val="44"/>
          <w:szCs w:val="44"/>
        </w:rPr>
        <w:t xml:space="preserve"> </w:t>
      </w:r>
    </w:p>
    <w:p>
      <w:pPr>
        <w:spacing w:line="360" w:lineRule="auto"/>
        <w:jc w:val="center"/>
        <w:rPr>
          <w:rFonts w:hint="eastAsia" w:ascii="仿宋" w:hAnsi="仿宋" w:eastAsia="仿宋" w:cs="Arial"/>
          <w:b/>
          <w:bCs/>
          <w:sz w:val="44"/>
          <w:szCs w:val="44"/>
          <w:lang w:val="en-US" w:eastAsia="zh-CN"/>
        </w:rPr>
      </w:pPr>
      <w:r>
        <w:rPr>
          <w:rFonts w:hint="eastAsia" w:ascii="仿宋" w:hAnsi="仿宋" w:eastAsia="仿宋" w:cs="Arial"/>
          <w:b/>
          <w:bCs/>
          <w:sz w:val="44"/>
          <w:szCs w:val="44"/>
          <w:lang w:val="en-US" w:eastAsia="zh-CN"/>
        </w:rPr>
        <w:t>2020年度部门项目支出绩效评价报告</w:t>
      </w:r>
    </w:p>
    <w:p>
      <w:pPr>
        <w:jc w:val="center"/>
        <w:rPr>
          <w:rFonts w:hint="eastAsia" w:ascii="仿宋" w:hAnsi="仿宋" w:eastAsia="仿宋" w:cs="Arial"/>
          <w:b/>
          <w:bCs/>
          <w:sz w:val="44"/>
          <w:szCs w:val="44"/>
          <w:lang w:val="en-US" w:eastAsia="zh-CN"/>
        </w:rPr>
      </w:pP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color w:val="000000"/>
          <w:sz w:val="32"/>
          <w:szCs w:val="32"/>
          <w:lang w:val="en-US" w:eastAsia="zh-CN"/>
        </w:rPr>
        <w:t>为深入贯彻落实</w:t>
      </w:r>
      <w:r>
        <w:rPr>
          <w:rFonts w:hint="eastAsia" w:ascii="仿宋" w:hAnsi="仿宋" w:eastAsia="仿宋" w:cs="仿宋"/>
          <w:color w:val="000000"/>
          <w:sz w:val="32"/>
          <w:szCs w:val="32"/>
        </w:rPr>
        <w:t>《中共西湖区委西湖区人民政府关于全面实施预算绩效管理的实施意见》（西发[2019]11号）及《南昌市财政局关于开展2021年度预</w:t>
      </w:r>
      <w:bookmarkStart w:id="3" w:name="_GoBack"/>
      <w:bookmarkEnd w:id="3"/>
      <w:r>
        <w:rPr>
          <w:rFonts w:hint="eastAsia" w:ascii="仿宋" w:hAnsi="仿宋" w:eastAsia="仿宋" w:cs="仿宋"/>
          <w:color w:val="000000"/>
          <w:sz w:val="32"/>
          <w:szCs w:val="32"/>
        </w:rPr>
        <w:t>算绩效管理有关工作的通知》（洪财办[2021]7号）精神</w:t>
      </w:r>
      <w:r>
        <w:rPr>
          <w:rFonts w:hint="eastAsia" w:ascii="仿宋" w:hAnsi="仿宋" w:eastAsia="仿宋" w:cs="仿宋"/>
          <w:kern w:val="2"/>
          <w:sz w:val="32"/>
          <w:szCs w:val="32"/>
          <w:lang w:val="en-US" w:eastAsia="zh-CN" w:bidi="ar-SA"/>
        </w:rPr>
        <w:t>，增强单位预算编制的科学性、合理性、规范性，全面提高财政资源配置效率和使用效益，加快建立全方位、全过程、全覆盖、全公开的预算绩效管理机制，认真组织开展了旅游工作经费项目绩效评价工作，现报告如下：</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一、基本情况</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（一）项目概况</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1.项目背景</w:t>
      </w:r>
    </w:p>
    <w:p>
      <w:pPr>
        <w:spacing w:line="360" w:lineRule="auto"/>
        <w:ind w:firstLine="640" w:firstLineChars="200"/>
        <w:rPr>
          <w:rFonts w:hint="default" w:ascii="仿宋" w:hAnsi="仿宋" w:eastAsia="仿宋" w:cs="Times New Roman"/>
          <w:b w:val="0"/>
          <w:kern w:val="2"/>
          <w:sz w:val="32"/>
          <w:szCs w:val="32"/>
          <w:highlight w:val="none"/>
          <w:lang w:val="en-US" w:eastAsia="zh-CN" w:bidi="ar-SA"/>
        </w:rPr>
      </w:pPr>
      <w:r>
        <w:rPr>
          <w:rFonts w:hint="eastAsia" w:ascii="仿宋" w:hAnsi="仿宋" w:eastAsia="仿宋" w:cs="Times New Roman"/>
          <w:b w:val="0"/>
          <w:kern w:val="2"/>
          <w:sz w:val="32"/>
          <w:szCs w:val="32"/>
          <w:highlight w:val="none"/>
          <w:lang w:val="en-US" w:eastAsia="zh-CN" w:bidi="ar-SA"/>
        </w:rPr>
        <w:t>为进一步加快我区旅游产业的发展，充分发挥旅游专项资金的引导和激励作用，根据中共南昌市委、南昌市人民政府 《关于加快推进旅游强市建设的实施意见》（洪发〔2014〕8号）和《南昌市旅游产业发展专项资金使用管理办法》（洪府厅发 〔2017〕46 号）文件精神。给西湖区文化广电新闻出版旅游局旅游工作经费，促进西湖区旅游业的发展。</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2.主要内容及实施情况</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（1）主要内容</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主要用于旅游宣 传促销、旅游产业品牌奖励、旅游景区（点）建设扶持补助、旅游发展绩效奖励及旅游人才培养等旅游产业方面的专项支出。</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（2）实施情况</w:t>
      </w:r>
    </w:p>
    <w:p>
      <w:pPr>
        <w:widowControl/>
        <w:spacing w:line="360" w:lineRule="auto"/>
        <w:ind w:firstLine="640" w:firstLineChars="20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通过项目的实施：①营造文明旅游新常态，促进文明旅游进社区。②创新多种营销手段，不断拓展散客旅游市场。③创新旅游宣传推介，激发创新创业活力。</w:t>
      </w:r>
    </w:p>
    <w:p>
      <w:pPr>
        <w:spacing w:line="360" w:lineRule="auto"/>
        <w:ind w:firstLine="964" w:firstLineChars="3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3.资金投入和使用情况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（1）资金投入</w:t>
      </w:r>
    </w:p>
    <w:p>
      <w:pPr>
        <w:widowControl/>
        <w:spacing w:line="360" w:lineRule="auto"/>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Times New Roman"/>
          <w:kern w:val="2"/>
          <w:sz w:val="32"/>
          <w:szCs w:val="32"/>
          <w:lang w:val="en-US" w:eastAsia="zh-CN" w:bidi="ar-SA"/>
        </w:rPr>
        <w:t>2020年度</w:t>
      </w:r>
      <w:r>
        <w:rPr>
          <w:rFonts w:hint="eastAsia" w:ascii="仿宋" w:hAnsi="仿宋" w:eastAsia="仿宋" w:cs="仿宋"/>
          <w:sz w:val="32"/>
          <w:szCs w:val="32"/>
          <w:lang w:val="en-US" w:eastAsia="zh-CN"/>
        </w:rPr>
        <w:t>旅游工作经费</w:t>
      </w:r>
      <w:r>
        <w:rPr>
          <w:rFonts w:hint="eastAsia" w:ascii="仿宋" w:hAnsi="仿宋" w:eastAsia="仿宋" w:cs="Times New Roman"/>
          <w:kern w:val="2"/>
          <w:sz w:val="32"/>
          <w:szCs w:val="32"/>
          <w:lang w:val="en-US" w:eastAsia="zh-CN" w:bidi="ar-SA"/>
        </w:rPr>
        <w:t>的预算为40万元。财政实际下拨34万元，截止2020年12月31日，实际支出34万元，预算资金执行率为100%。</w:t>
      </w:r>
    </w:p>
    <w:p>
      <w:pPr>
        <w:widowControl/>
        <w:spacing w:line="360" w:lineRule="auto"/>
        <w:ind w:left="638" w:leftChars="304" w:firstLine="0" w:firstLineChars="0"/>
        <w:jc w:val="lef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（二）项目绩效目标</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1.总体目标</w:t>
      </w:r>
    </w:p>
    <w:p>
      <w:pPr>
        <w:spacing w:line="360" w:lineRule="auto"/>
        <w:ind w:firstLine="640" w:firstLineChars="200"/>
        <w:outlineLvl w:val="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加大旅游事件、节事营销的策划力度，增添特色文化符号，策划开展创意性强的宣传营销活动，不断扩大影响力，提升知名度。</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2.阶段性目标</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bookmarkStart w:id="0" w:name="_Toc15905"/>
      <w:r>
        <w:rPr>
          <w:rFonts w:hint="eastAsia" w:ascii="仿宋" w:hAnsi="仿宋" w:eastAsia="仿宋" w:cs="仿宋"/>
          <w:kern w:val="2"/>
          <w:sz w:val="32"/>
          <w:szCs w:val="32"/>
          <w:lang w:val="en-US" w:eastAsia="zh-CN" w:bidi="ar-SA"/>
        </w:rPr>
        <w:t>（1）</w:t>
      </w:r>
      <w:bookmarkEnd w:id="0"/>
      <w:r>
        <w:rPr>
          <w:rFonts w:hint="eastAsia" w:ascii="仿宋" w:hAnsi="仿宋" w:eastAsia="仿宋" w:cs="仿宋"/>
          <w:kern w:val="2"/>
          <w:sz w:val="32"/>
          <w:szCs w:val="32"/>
          <w:lang w:val="en-US" w:eastAsia="zh-CN" w:bidi="ar-SA"/>
        </w:rPr>
        <w:t>打造丰富多彩节庆活动</w:t>
      </w:r>
      <w:r>
        <w:rPr>
          <w:rFonts w:hint="eastAsia" w:ascii="仿宋" w:hAnsi="仿宋" w:eastAsia="仿宋" w:cs="仿宋"/>
          <w:kern w:val="2"/>
          <w:sz w:val="32"/>
          <w:szCs w:val="32"/>
          <w:lang w:val="en-US" w:eastAsia="zh-CN" w:bidi="ar-SA"/>
        </w:rPr>
        <w:t>。</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（2）凝聚文明旅游全民共识，推动文明理念深入人心</w:t>
      </w:r>
      <w:r>
        <w:rPr>
          <w:rFonts w:hint="eastAsia" w:ascii="仿宋" w:hAnsi="仿宋" w:eastAsia="仿宋" w:cs="仿宋"/>
          <w:kern w:val="2"/>
          <w:sz w:val="32"/>
          <w:szCs w:val="32"/>
          <w:lang w:val="en-US" w:eastAsia="zh-CN" w:bidi="ar-SA"/>
        </w:rPr>
        <w:t>。</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（3）创节办会，激发人气；宣传推介，树立品牌</w:t>
      </w:r>
      <w:r>
        <w:rPr>
          <w:rFonts w:hint="eastAsia" w:ascii="仿宋" w:hAnsi="仿宋" w:eastAsia="仿宋" w:cs="仿宋"/>
          <w:kern w:val="2"/>
          <w:sz w:val="32"/>
          <w:szCs w:val="32"/>
          <w:lang w:val="en-US" w:eastAsia="zh-CN" w:bidi="ar-SA"/>
        </w:rPr>
        <w:t>。</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二、绩效评价工作开展情况</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（一）绩效评价目的、对象和范围</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次绩效评价从项目执行过程中的投入、管理制度建设、资金使用规范性、项目资金的使用和产出效果等多个方面，全面评价项目绩效状况。目的是为今后项目实施方向及管理方式改进提供指导，逐步树立以结果为导向的预算观。针对项目执行过程中存在的问题及不足，提出针对性改进意见，以促进项目单位的项目管理水平，提升政策实施效果和财政资金使用效益，为预算资金安排和完善提供参考。评价范围是旅游工作经费34万元。</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（二）绩效评价原则、评价指标体系、评价方法、评价标准</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1.绩效评价原则</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Times New Roman"/>
          <w:b w:val="0"/>
          <w:kern w:val="2"/>
          <w:sz w:val="32"/>
          <w:szCs w:val="32"/>
          <w:highlight w:val="none"/>
          <w:lang w:val="en-US" w:eastAsia="zh-CN" w:bidi="ar-SA"/>
        </w:rPr>
        <w:t>西湖区文化广电新闻出版旅游局旅游工作经费</w:t>
      </w:r>
      <w:r>
        <w:rPr>
          <w:rFonts w:hint="eastAsia" w:ascii="仿宋" w:hAnsi="仿宋" w:eastAsia="仿宋" w:cs="仿宋"/>
          <w:kern w:val="2"/>
          <w:sz w:val="32"/>
          <w:szCs w:val="32"/>
          <w:lang w:val="en-US" w:eastAsia="zh-CN" w:bidi="ar-SA"/>
        </w:rPr>
        <w:t>绩效评价将严格遵守科学规范原则、公正公开原则、分级分类原则以及绩效管理相关原则。</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2.评价指标体系</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财政部《预算绩效评价共性指标体系框架》等文件精神，确定本次绩效评价指标的整体框架，结合项目目标以及项目实施要求、申报要求、专项资金发放效果等内容，确定本次绩效评价指标体系的个性指标，具体详见《项目支出绩效评分表》，指标数据来源于相关法规、政府文件、基础数据采集、问卷调查和访谈等。</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评价指标体系表共 100 分。分值≥90 分，评价结果为“优”; 80分≤分值&lt;90 分，评价结果为“良”；60 分≤分值&lt;80 分，评价结果为“中”；分值&lt;60 分，评价结果为“差”。</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3.评价方法</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绩效评价主要采用以下评价方法：</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（1）成本效益分析法。是指将一定时期内的支出与效益进行对比分析，以评价绩效目标实现程度。</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（2）比较分析法。指通过对绩效目标与实施效果、当期情况的比较，综合分析绩效目标实现程度。</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（3）公众评判法。是指通过公众问卷及抽样调查等对财政支出效果进行评判，评价绩效目标实现程度。</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4.评价标准</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按照《南昌市财政局关于开展2021年度预算绩效管理有关工作的通知》( 洪财办[2021] 7号),参照财政部《项目支出绩效评价共性指标体系框架》制定了《项目支出绩效评价指标体系评分表》，开展2020年项目支出绩效评价得分。</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（三）绩效评价工作过程</w:t>
      </w:r>
    </w:p>
    <w:p>
      <w:pPr>
        <w:spacing w:line="360" w:lineRule="auto"/>
        <w:ind w:firstLine="640"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color w:val="000000"/>
          <w:sz w:val="32"/>
          <w:szCs w:val="32"/>
          <w:lang w:val="en-US" w:eastAsia="zh-CN"/>
        </w:rPr>
        <w:t>自2021年3月15日项目布置会以来，在了解项目概况、管理制度、资金流程等基础上，完成了绩效评价方案，明确了本次绩效评价的目的、方法、评价的原则、评价标准、时间安排等。评价组严格按照工作方案，通过前期准备、实地核查、满意度调查、数据分析和报告撰写等环节，顺利完成了本次绩效评价报告工作。</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三、综合评价情况及评价结论</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自评绩效评分细则，西湖区文化广电新闻出版旅游局严格按照经费管理原则管理和使用，严格执行预算管理、防止各种违反财经纪律的行为、保障重点、量入为出、收支平衡的原则，提高了资金使用效益。项目绩效自评得分为95分，经绩效评价小组复核，项目最终绩效评价得分为95分，评价等级为“优”。</w:t>
      </w:r>
    </w:p>
    <w:tbl>
      <w:tblPr>
        <w:tblStyle w:val="10"/>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4"/>
        <w:gridCol w:w="1680"/>
        <w:gridCol w:w="1692"/>
        <w:gridCol w:w="1584"/>
        <w:gridCol w:w="178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14" w:type="dxa"/>
            <w:shd w:val="clear" w:color="auto" w:fill="00B0F0"/>
            <w:noWrap w:val="0"/>
            <w:vAlign w:val="center"/>
          </w:tcPr>
          <w:p>
            <w:pPr>
              <w:widowControl/>
              <w:spacing w:line="360" w:lineRule="auto"/>
              <w:jc w:val="center"/>
              <w:textAlignment w:val="center"/>
              <w:rPr>
                <w:rFonts w:hint="eastAsia" w:eastAsia="宋体" w:cs="仿宋_GB2312"/>
                <w:b/>
                <w:bCs/>
                <w:color w:val="FFFFFF"/>
                <w:kern w:val="0"/>
                <w:sz w:val="28"/>
                <w:szCs w:val="28"/>
                <w:lang w:eastAsia="zh-CN"/>
              </w:rPr>
            </w:pPr>
            <w:r>
              <w:rPr>
                <w:rFonts w:hint="eastAsia" w:cs="仿宋_GB2312"/>
                <w:b/>
                <w:bCs/>
                <w:color w:val="FFFFFF"/>
                <w:kern w:val="0"/>
                <w:sz w:val="28"/>
                <w:szCs w:val="28"/>
              </w:rPr>
              <w:t>项目</w:t>
            </w:r>
            <w:r>
              <w:rPr>
                <w:rFonts w:hint="eastAsia" w:cs="仿宋_GB2312"/>
                <w:b/>
                <w:bCs/>
                <w:color w:val="FFFFFF"/>
                <w:kern w:val="0"/>
                <w:sz w:val="28"/>
                <w:szCs w:val="28"/>
                <w:lang w:val="en-US" w:eastAsia="zh-CN"/>
              </w:rPr>
              <w:t>决策</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（1</w:t>
            </w:r>
            <w:r>
              <w:rPr>
                <w:rFonts w:hint="eastAsia" w:cs="仿宋_GB2312"/>
                <w:b/>
                <w:bCs/>
                <w:color w:val="FFFFFF"/>
                <w:kern w:val="0"/>
                <w:sz w:val="28"/>
                <w:szCs w:val="28"/>
                <w:lang w:val="en-US" w:eastAsia="zh-CN"/>
              </w:rPr>
              <w:t>8</w:t>
            </w:r>
            <w:r>
              <w:rPr>
                <w:rFonts w:hint="eastAsia" w:cs="仿宋_GB2312"/>
                <w:b/>
                <w:bCs/>
                <w:color w:val="FFFFFF"/>
                <w:kern w:val="0"/>
                <w:sz w:val="28"/>
                <w:szCs w:val="28"/>
              </w:rPr>
              <w:t>分）</w:t>
            </w:r>
          </w:p>
        </w:tc>
        <w:tc>
          <w:tcPr>
            <w:tcW w:w="1680" w:type="dxa"/>
            <w:shd w:val="clear" w:color="auto" w:fill="00B0F0"/>
            <w:noWrap w:val="0"/>
            <w:vAlign w:val="center"/>
          </w:tcPr>
          <w:p>
            <w:pPr>
              <w:widowControl/>
              <w:spacing w:line="360" w:lineRule="auto"/>
              <w:jc w:val="center"/>
              <w:textAlignment w:val="center"/>
              <w:rPr>
                <w:rFonts w:hint="eastAsia" w:eastAsia="宋体" w:cs="仿宋_GB2312"/>
                <w:b/>
                <w:bCs/>
                <w:color w:val="FFFFFF"/>
                <w:kern w:val="0"/>
                <w:sz w:val="28"/>
                <w:szCs w:val="28"/>
                <w:lang w:eastAsia="zh-CN"/>
              </w:rPr>
            </w:pPr>
            <w:r>
              <w:rPr>
                <w:rFonts w:hint="eastAsia" w:cs="仿宋_GB2312"/>
                <w:b/>
                <w:bCs/>
                <w:color w:val="FFFFFF"/>
                <w:kern w:val="0"/>
                <w:sz w:val="28"/>
                <w:szCs w:val="28"/>
              </w:rPr>
              <w:t>项目</w:t>
            </w:r>
            <w:r>
              <w:rPr>
                <w:rFonts w:hint="eastAsia" w:cs="仿宋_GB2312"/>
                <w:b/>
                <w:bCs/>
                <w:color w:val="FFFFFF"/>
                <w:kern w:val="0"/>
                <w:sz w:val="28"/>
                <w:szCs w:val="28"/>
                <w:lang w:val="en-US" w:eastAsia="zh-CN"/>
              </w:rPr>
              <w:t>过程</w:t>
            </w:r>
          </w:p>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22</w:t>
            </w:r>
            <w:r>
              <w:rPr>
                <w:rFonts w:hint="eastAsia" w:cs="仿宋_GB2312"/>
                <w:b/>
                <w:bCs/>
                <w:color w:val="FFFFFF"/>
                <w:kern w:val="0"/>
                <w:sz w:val="28"/>
                <w:szCs w:val="28"/>
              </w:rPr>
              <w:t>分）</w:t>
            </w:r>
          </w:p>
        </w:tc>
        <w:tc>
          <w:tcPr>
            <w:tcW w:w="1692"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项目产出</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35</w:t>
            </w:r>
            <w:r>
              <w:rPr>
                <w:rFonts w:hint="eastAsia" w:cs="仿宋_GB2312"/>
                <w:b/>
                <w:bCs/>
                <w:color w:val="FFFFFF"/>
                <w:kern w:val="0"/>
                <w:sz w:val="28"/>
                <w:szCs w:val="28"/>
              </w:rPr>
              <w:t>分）</w:t>
            </w:r>
          </w:p>
        </w:tc>
        <w:tc>
          <w:tcPr>
            <w:tcW w:w="1584"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项目效果</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15</w:t>
            </w:r>
            <w:r>
              <w:rPr>
                <w:rFonts w:hint="eastAsia" w:cs="仿宋_GB2312"/>
                <w:b/>
                <w:bCs/>
                <w:color w:val="FFFFFF"/>
                <w:kern w:val="0"/>
                <w:sz w:val="28"/>
                <w:szCs w:val="28"/>
              </w:rPr>
              <w:t>分）</w:t>
            </w:r>
          </w:p>
        </w:tc>
        <w:tc>
          <w:tcPr>
            <w:tcW w:w="1788" w:type="dxa"/>
            <w:shd w:val="clear" w:color="auto" w:fill="00B0F0"/>
            <w:noWrap w:val="0"/>
            <w:vAlign w:val="center"/>
          </w:tcPr>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项目满意度</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10</w:t>
            </w:r>
            <w:r>
              <w:rPr>
                <w:rFonts w:hint="eastAsia" w:cs="仿宋_GB2312"/>
                <w:b/>
                <w:bCs/>
                <w:color w:val="FFFFFF"/>
                <w:kern w:val="0"/>
                <w:sz w:val="28"/>
                <w:szCs w:val="28"/>
              </w:rPr>
              <w:t>分）</w:t>
            </w:r>
          </w:p>
        </w:tc>
        <w:tc>
          <w:tcPr>
            <w:tcW w:w="1368" w:type="dxa"/>
            <w:shd w:val="clear" w:color="auto" w:fill="00B0F0"/>
            <w:noWrap w:val="0"/>
            <w:vAlign w:val="center"/>
          </w:tcPr>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514" w:type="dxa"/>
            <w:noWrap w:val="0"/>
            <w:vAlign w:val="center"/>
          </w:tcPr>
          <w:p>
            <w:pPr>
              <w:spacing w:line="360" w:lineRule="auto"/>
              <w:jc w:val="center"/>
              <w:rPr>
                <w:rFonts w:hint="eastAsia" w:eastAsia="仿宋" w:cs="仿宋"/>
                <w:color w:val="000000"/>
                <w:sz w:val="24"/>
                <w:szCs w:val="24"/>
                <w:lang w:eastAsia="zh-CN"/>
              </w:rPr>
            </w:pPr>
            <w:r>
              <w:rPr>
                <w:rFonts w:hint="eastAsia" w:eastAsia="仿宋" w:cs="仿宋"/>
                <w:color w:val="000000"/>
                <w:sz w:val="24"/>
                <w:szCs w:val="24"/>
              </w:rPr>
              <w:t>1</w:t>
            </w:r>
            <w:r>
              <w:rPr>
                <w:rFonts w:hint="eastAsia" w:eastAsia="仿宋" w:cs="仿宋"/>
                <w:color w:val="000000"/>
                <w:sz w:val="24"/>
                <w:szCs w:val="24"/>
                <w:lang w:val="en-US" w:eastAsia="zh-CN"/>
              </w:rPr>
              <w:t>8</w:t>
            </w:r>
          </w:p>
        </w:tc>
        <w:tc>
          <w:tcPr>
            <w:tcW w:w="1680"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22</w:t>
            </w:r>
          </w:p>
        </w:tc>
        <w:tc>
          <w:tcPr>
            <w:tcW w:w="1692"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35</w:t>
            </w:r>
          </w:p>
        </w:tc>
        <w:tc>
          <w:tcPr>
            <w:tcW w:w="1584"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12</w:t>
            </w:r>
          </w:p>
        </w:tc>
        <w:tc>
          <w:tcPr>
            <w:tcW w:w="1788"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8</w:t>
            </w:r>
          </w:p>
        </w:tc>
        <w:tc>
          <w:tcPr>
            <w:tcW w:w="1368"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95</w:t>
            </w:r>
          </w:p>
        </w:tc>
      </w:tr>
    </w:tbl>
    <w:p>
      <w:pPr>
        <w:spacing w:line="360" w:lineRule="auto"/>
        <w:ind w:firstLine="643" w:firstLineChars="200"/>
        <w:outlineLvl w:val="0"/>
        <w:rPr>
          <w:rFonts w:hint="eastAsia" w:ascii="仿宋" w:hAnsi="仿宋" w:eastAsia="仿宋" w:cs="仿宋"/>
          <w:b/>
          <w:bCs/>
          <w:kern w:val="2"/>
          <w:sz w:val="32"/>
          <w:szCs w:val="32"/>
          <w:lang w:val="en-US" w:eastAsia="zh-CN" w:bidi="ar-SA"/>
        </w:rPr>
      </w:pP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四、绩效评价指标分析</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（一）项目决策情况</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（1）项目立项</w:t>
      </w:r>
    </w:p>
    <w:p>
      <w:pPr>
        <w:spacing w:line="360" w:lineRule="auto"/>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根据《西湖区文化广电新闻出版旅游局2020年部门预算批复表》为立项依据。因此，项目立项有据可依，具有规范性。</w:t>
      </w:r>
    </w:p>
    <w:p>
      <w:pPr>
        <w:spacing w:line="360" w:lineRule="auto"/>
        <w:ind w:firstLine="640" w:firstLineChars="200"/>
        <w:outlineLvl w:val="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（2）绩效目标</w:t>
      </w:r>
    </w:p>
    <w:p>
      <w:pPr>
        <w:spacing w:line="360" w:lineRule="auto"/>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项目目标设定充分依据项目实际需求，目标和指标的设计符合项目管理规范;指标采取定量与定性相结合，通过清晰、可衡量的指标值将绩效目标反映出来，考核指标设立合理;项目预期产出效益和效果符合正常的工作水平，绩效指标具体可测性。</w:t>
      </w:r>
    </w:p>
    <w:p>
      <w:pPr>
        <w:numPr>
          <w:ilvl w:val="0"/>
          <w:numId w:val="1"/>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资金投入</w:t>
      </w:r>
    </w:p>
    <w:p>
      <w:pPr>
        <w:numPr>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该项目严格按照程序进行项目的预算申报，并根据项目实际需要和本年度计划工作内容，设定了绩效目标，且目标明确，与预算确定的项目投资额相匹配。</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（二）项目过程情况</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（1）预算资金执行情况</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Times New Roman"/>
          <w:kern w:val="2"/>
          <w:sz w:val="32"/>
          <w:szCs w:val="32"/>
          <w:lang w:val="en-US" w:eastAsia="zh-CN" w:bidi="ar-SA"/>
        </w:rPr>
        <w:t>2020年度</w:t>
      </w:r>
      <w:r>
        <w:rPr>
          <w:rFonts w:hint="eastAsia" w:ascii="仿宋" w:hAnsi="仿宋" w:eastAsia="仿宋" w:cs="Times New Roman"/>
          <w:b w:val="0"/>
          <w:kern w:val="2"/>
          <w:sz w:val="32"/>
          <w:szCs w:val="32"/>
          <w:highlight w:val="none"/>
          <w:lang w:val="en-US" w:eastAsia="zh-CN" w:bidi="ar-SA"/>
        </w:rPr>
        <w:t>旅游工作经费</w:t>
      </w:r>
      <w:r>
        <w:rPr>
          <w:rFonts w:hint="eastAsia" w:ascii="仿宋" w:hAnsi="仿宋" w:eastAsia="仿宋" w:cs="Times New Roman"/>
          <w:kern w:val="2"/>
          <w:sz w:val="32"/>
          <w:szCs w:val="32"/>
          <w:lang w:val="en-US" w:eastAsia="zh-CN" w:bidi="ar-SA"/>
        </w:rPr>
        <w:t>项目预算40万元，专项资金到位34万元，实际支出34</w:t>
      </w:r>
      <w:r>
        <w:rPr>
          <w:rFonts w:hint="eastAsia" w:ascii="仿宋" w:hAnsi="仿宋" w:eastAsia="仿宋" w:cs="Times New Roman"/>
          <w:b w:val="0"/>
          <w:kern w:val="2"/>
          <w:sz w:val="32"/>
          <w:szCs w:val="32"/>
          <w:highlight w:val="none"/>
          <w:lang w:val="en-US" w:eastAsia="zh-CN" w:bidi="ar-SA"/>
        </w:rPr>
        <w:t>万元，预算资金执行率100%，</w:t>
      </w:r>
      <w:r>
        <w:rPr>
          <w:rFonts w:hint="eastAsia" w:ascii="仿宋" w:hAnsi="仿宋" w:eastAsia="仿宋" w:cs="Times New Roman"/>
          <w:kern w:val="2"/>
          <w:sz w:val="32"/>
          <w:szCs w:val="32"/>
          <w:lang w:val="en-US" w:eastAsia="zh-CN" w:bidi="ar-SA"/>
        </w:rPr>
        <w:t>用于旅游经费</w:t>
      </w:r>
      <w:r>
        <w:rPr>
          <w:rFonts w:hint="eastAsia" w:ascii="仿宋" w:hAnsi="仿宋" w:eastAsia="仿宋" w:cs="仿宋"/>
          <w:kern w:val="2"/>
          <w:sz w:val="32"/>
          <w:szCs w:val="32"/>
          <w:lang w:val="en-US" w:eastAsia="zh-CN" w:bidi="ar-SA"/>
        </w:rPr>
        <w:t>。</w:t>
      </w:r>
    </w:p>
    <w:p>
      <w:pPr>
        <w:pStyle w:val="9"/>
        <w:numPr>
          <w:ilvl w:val="0"/>
          <w:numId w:val="2"/>
        </w:numPr>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资金使用管理</w:t>
      </w:r>
    </w:p>
    <w:p>
      <w:pPr>
        <w:pStyle w:val="9"/>
        <w:numPr>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为进一步规范财务管理，提高经费使用效率，完善制约机制，保障旅游事业持续发展，根据国家现行财务法规和市财政局财务管理要求及制度，结合实际，制定财务管理规定。对所有经费实行“统一领导、集中管理”财务管理体制，经费支出实行分级预算审批制度，并遵循适度授权原则、严格预算原则。同时，严格执行专项资金管理制度，专项资金拨付本着专款专用的原则，严格执行项目资金批准的使用计划和项目批复程序，不挤占和挪用财政专项资金。专项资金报账要附真实、有效、合法的凭证，对专项资金进行定期和不定期检查，确保资金使用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（3）组织实施</w:t>
      </w:r>
    </w:p>
    <w:p>
      <w:pPr>
        <w:pStyle w:val="5"/>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项目实施单位为保障资金的安全、规范运行采取了必要的监控措施。项目实施单位能够按照事前审核、事中追踪、事后问效的监督工作制度。确保财政性专项资金使用安全、规范、有效。能够执行各类财政性专项资金使用管理办法和制度，实行专人管理、专账核算、专款专用，确保资金支出的合法性、真实性，并建立、健全和完善专项资金内部管理制度。</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（三）项目产出情况</w:t>
      </w:r>
    </w:p>
    <w:p>
      <w:pPr>
        <w:pStyle w:val="9"/>
        <w:spacing w:line="360" w:lineRule="auto"/>
        <w:ind w:left="0" w:leftChars="0"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（1）数量指标</w:t>
      </w:r>
    </w:p>
    <w:p>
      <w:pPr>
        <w:spacing w:line="36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①举办了2场大型景区旅游宣传活动。</w:t>
      </w:r>
    </w:p>
    <w:p>
      <w:pPr>
        <w:spacing w:line="360" w:lineRule="auto"/>
        <w:ind w:firstLine="640" w:firstLineChars="200"/>
        <w:rPr>
          <w:rFonts w:ascii="仿宋_GB2312" w:hAnsi="宋体" w:eastAsia="仿宋_GB2312" w:cs="仿宋_GB2312"/>
          <w:sz w:val="32"/>
          <w:szCs w:val="32"/>
        </w:rPr>
      </w:pPr>
      <w:r>
        <w:rPr>
          <w:rFonts w:hint="eastAsia" w:ascii="仿宋" w:hAnsi="仿宋" w:eastAsia="仿宋"/>
          <w:color w:val="000000"/>
          <w:sz w:val="32"/>
          <w:szCs w:val="32"/>
          <w:lang w:val="en-US" w:eastAsia="zh-CN"/>
        </w:rPr>
        <w:t>②举行了3次旅游推介营销和文明旅游进社区活动。</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（2）质量指标</w:t>
      </w:r>
    </w:p>
    <w:p>
      <w:pPr>
        <w:spacing w:line="36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①</w:t>
      </w:r>
      <w:r>
        <w:rPr>
          <w:rFonts w:hint="eastAsia" w:ascii="仿宋" w:hAnsi="仿宋" w:eastAsia="仿宋"/>
          <w:color w:val="000000"/>
          <w:sz w:val="32"/>
          <w:szCs w:val="32"/>
          <w:lang w:val="en-US" w:eastAsia="zh-CN"/>
        </w:rPr>
        <w:t>8月，为消除疫情影响，支持企业发展，我区在南昌玛雅乐园举行了“乘风破浪大美西湖”为主题的“2020南昌西湖玛雅戏水节”。戏水节期间，带动西湖万达、天虹商场、苏宁易购、喜盈门、锦峰酒店等企业联合营销</w:t>
      </w:r>
      <w:r>
        <w:rPr>
          <w:rFonts w:hint="eastAsia" w:ascii="仿宋" w:hAnsi="仿宋" w:eastAsia="仿宋"/>
          <w:color w:val="000000"/>
          <w:sz w:val="32"/>
          <w:szCs w:val="32"/>
          <w:lang w:eastAsia="zh-CN"/>
        </w:rPr>
        <w:t>。</w:t>
      </w:r>
    </w:p>
    <w:p>
      <w:pPr>
        <w:spacing w:line="36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②</w:t>
      </w:r>
      <w:r>
        <w:rPr>
          <w:rFonts w:hint="eastAsia" w:ascii="仿宋" w:hAnsi="仿宋" w:eastAsia="仿宋"/>
          <w:color w:val="000000"/>
          <w:sz w:val="32"/>
          <w:szCs w:val="32"/>
          <w:lang w:val="en-US" w:eastAsia="zh-CN"/>
        </w:rPr>
        <w:t>今年以来，共组织8家企业和6项文创作品参加各类推介、评比，取得良好成效。</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）时效指标</w:t>
      </w:r>
    </w:p>
    <w:p>
      <w:pPr>
        <w:spacing w:line="360" w:lineRule="auto"/>
        <w:ind w:firstLine="640" w:firstLineChars="200"/>
        <w:rPr>
          <w:rFonts w:ascii="仿宋_GB2312" w:hAnsi="仿宋_GB2312" w:eastAsia="仿宋_GB2312"/>
          <w:sz w:val="32"/>
          <w:szCs w:val="22"/>
        </w:rPr>
      </w:pPr>
      <w:bookmarkStart w:id="1" w:name="_Hlk68875596"/>
      <w:r>
        <w:rPr>
          <w:rFonts w:hint="eastAsia" w:ascii="仿宋" w:hAnsi="仿宋" w:eastAsia="仿宋"/>
          <w:color w:val="000000"/>
          <w:sz w:val="32"/>
          <w:szCs w:val="32"/>
          <w:lang w:eastAsia="zh-CN"/>
        </w:rPr>
        <w:t>旅游活动举办</w:t>
      </w:r>
      <w:r>
        <w:rPr>
          <w:rFonts w:hint="eastAsia" w:ascii="仿宋" w:hAnsi="仿宋" w:eastAsia="仿宋"/>
          <w:color w:val="000000"/>
          <w:sz w:val="32"/>
          <w:szCs w:val="32"/>
        </w:rPr>
        <w:t>及时率100%</w:t>
      </w:r>
      <w:bookmarkEnd w:id="1"/>
      <w:r>
        <w:rPr>
          <w:rFonts w:hint="eastAsia" w:ascii="仿宋" w:hAnsi="仿宋" w:eastAsia="仿宋"/>
          <w:color w:val="000000"/>
          <w:sz w:val="32"/>
          <w:szCs w:val="32"/>
        </w:rPr>
        <w:t>。截止2020年12月31日，年度</w:t>
      </w:r>
      <w:r>
        <w:rPr>
          <w:rFonts w:hint="eastAsia" w:ascii="仿宋" w:hAnsi="仿宋" w:eastAsia="仿宋"/>
          <w:color w:val="000000"/>
          <w:sz w:val="32"/>
          <w:szCs w:val="32"/>
          <w:lang w:eastAsia="zh-CN"/>
        </w:rPr>
        <w:t>旅游宣传</w:t>
      </w:r>
      <w:r>
        <w:rPr>
          <w:rFonts w:hint="eastAsia" w:ascii="仿宋" w:hAnsi="仿宋" w:eastAsia="仿宋"/>
          <w:color w:val="000000"/>
          <w:sz w:val="32"/>
          <w:szCs w:val="32"/>
        </w:rPr>
        <w:t>计划及时率完成100%。</w:t>
      </w:r>
    </w:p>
    <w:p>
      <w:pPr>
        <w:numPr>
          <w:ilvl w:val="0"/>
          <w:numId w:val="0"/>
        </w:numPr>
        <w:spacing w:line="360" w:lineRule="auto"/>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（4）成本效益</w:t>
      </w:r>
    </w:p>
    <w:p>
      <w:pPr>
        <w:pStyle w:val="9"/>
        <w:spacing w:line="360" w:lineRule="auto"/>
        <w:ind w:left="0" w:leftChars="0" w:firstLine="640" w:firstLineChars="200"/>
        <w:rPr>
          <w:rFonts w:hint="eastAsia"/>
        </w:rPr>
      </w:pPr>
      <w:r>
        <w:rPr>
          <w:rFonts w:hint="eastAsia" w:ascii="仿宋" w:hAnsi="仿宋" w:eastAsia="仿宋" w:cs="Times New Roman"/>
          <w:b w:val="0"/>
          <w:kern w:val="2"/>
          <w:sz w:val="32"/>
          <w:szCs w:val="32"/>
          <w:highlight w:val="none"/>
          <w:lang w:val="en-US" w:eastAsia="zh-CN" w:bidi="ar-SA"/>
        </w:rPr>
        <w:t>旅游工作经费</w:t>
      </w:r>
      <w:r>
        <w:rPr>
          <w:rFonts w:hint="eastAsia" w:ascii="仿宋" w:hAnsi="仿宋" w:eastAsia="仿宋" w:cs="Times New Roman"/>
          <w:kern w:val="2"/>
          <w:sz w:val="32"/>
          <w:szCs w:val="32"/>
          <w:lang w:val="en-US" w:eastAsia="zh-CN" w:bidi="ar-SA"/>
        </w:rPr>
        <w:t>项目预算40万元，专项资金到位34万元，实际支出34</w:t>
      </w:r>
      <w:r>
        <w:rPr>
          <w:rFonts w:hint="eastAsia" w:ascii="仿宋" w:hAnsi="仿宋" w:eastAsia="仿宋" w:cs="Times New Roman"/>
          <w:b w:val="0"/>
          <w:kern w:val="2"/>
          <w:sz w:val="32"/>
          <w:szCs w:val="32"/>
          <w:highlight w:val="none"/>
          <w:lang w:val="en-US" w:eastAsia="zh-CN" w:bidi="ar-SA"/>
        </w:rPr>
        <w:t>万元，预算资金执行率100%</w:t>
      </w:r>
      <w:r>
        <w:rPr>
          <w:rFonts w:hint="eastAsia" w:ascii="仿宋" w:hAnsi="仿宋" w:eastAsia="仿宋" w:cs="Times New Roman"/>
          <w:kern w:val="2"/>
          <w:sz w:val="32"/>
          <w:szCs w:val="32"/>
          <w:lang w:val="en-US" w:eastAsia="zh-CN" w:bidi="ar-SA"/>
        </w:rPr>
        <w:t>。</w:t>
      </w:r>
      <w:r>
        <w:rPr>
          <w:rFonts w:hint="eastAsia" w:ascii="仿宋" w:hAnsi="仿宋" w:eastAsia="仿宋" w:cs="仿宋"/>
          <w:kern w:val="2"/>
          <w:sz w:val="32"/>
          <w:szCs w:val="32"/>
          <w:lang w:val="en-US" w:eastAsia="zh-CN" w:bidi="ar-SA"/>
        </w:rPr>
        <w:t>该项目实际支出金额均控制在预算范围内。</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（四）项目效益情况。</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（1）经济效益</w:t>
      </w:r>
    </w:p>
    <w:p>
      <w:pPr>
        <w:pStyle w:val="9"/>
        <w:spacing w:line="360" w:lineRule="auto"/>
        <w:ind w:left="0" w:leftChars="0" w:firstLine="64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创新多种营销手段。为降低营销成本，鼓励旅游企业开展网络营销通过微博互动营销、旅游专网营销、淘宝团购营销等方式，不断拓展散客旅游市场。</w:t>
      </w:r>
    </w:p>
    <w:p>
      <w:pPr>
        <w:pStyle w:val="9"/>
        <w:spacing w:line="360" w:lineRule="auto"/>
        <w:ind w:left="0" w:leftChars="0"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（2）社会效益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kern w:val="2"/>
          <w:sz w:val="32"/>
          <w:szCs w:val="32"/>
          <w:lang w:val="en-US" w:eastAsia="zh-CN" w:bidi="ar-SA"/>
        </w:rPr>
      </w:pPr>
      <w:bookmarkStart w:id="2" w:name="_Hlk68879052"/>
      <w:r>
        <w:rPr>
          <w:rFonts w:hint="eastAsia" w:ascii="仿宋" w:hAnsi="仿宋" w:eastAsia="仿宋" w:cs="Times New Roman"/>
          <w:kern w:val="2"/>
          <w:sz w:val="32"/>
          <w:szCs w:val="32"/>
          <w:lang w:val="en-US" w:eastAsia="zh-CN" w:bidi="ar-SA"/>
        </w:rPr>
        <w:t>营造文明旅游新常态，促进文明旅游进社区，不断凝聚文明旅游全民共识，推动文明理念深入人心。</w:t>
      </w:r>
    </w:p>
    <w:bookmarkEnd w:id="2"/>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b/>
          <w:bCs/>
          <w:kern w:val="2"/>
          <w:sz w:val="32"/>
          <w:szCs w:val="32"/>
          <w:lang w:val="en-US" w:eastAsia="zh-CN" w:bidi="ar-SA"/>
        </w:rPr>
      </w:pPr>
      <w:r>
        <w:rPr>
          <w:rFonts w:hint="eastAsia" w:ascii="仿宋" w:hAnsi="仿宋" w:eastAsia="仿宋" w:cs="Times New Roman"/>
          <w:kern w:val="2"/>
          <w:sz w:val="32"/>
          <w:szCs w:val="32"/>
          <w:lang w:val="en-US" w:eastAsia="zh-CN" w:bidi="ar-SA"/>
        </w:rPr>
        <w:t>（3）</w:t>
      </w:r>
      <w:r>
        <w:rPr>
          <w:rFonts w:hint="eastAsia" w:ascii="仿宋" w:hAnsi="仿宋" w:eastAsia="仿宋" w:cs="Times New Roman"/>
          <w:b/>
          <w:bCs/>
          <w:kern w:val="2"/>
          <w:sz w:val="32"/>
          <w:szCs w:val="32"/>
          <w:lang w:val="en-US" w:eastAsia="zh-CN" w:bidi="ar-SA"/>
        </w:rPr>
        <w:t>可持续影响指标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打造丰富多彩节庆活动。在积极开展群众性文化活动的同时，注重“品牌”意识。</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（4）社会公众或服务对象满意度</w:t>
      </w:r>
    </w:p>
    <w:p>
      <w:pPr>
        <w:pStyle w:val="5"/>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val="0"/>
          <w:bCs w:val="0"/>
          <w:kern w:val="2"/>
          <w:sz w:val="32"/>
          <w:szCs w:val="32"/>
          <w:lang w:val="en-US" w:eastAsia="zh-CN" w:bidi="ar-SA"/>
        </w:rPr>
        <w:t>通过问卷调查统计，群众</w:t>
      </w:r>
      <w:r>
        <w:rPr>
          <w:rFonts w:hint="eastAsia" w:ascii="仿宋" w:hAnsi="仿宋" w:eastAsia="仿宋" w:cs="仿宋"/>
          <w:kern w:val="2"/>
          <w:sz w:val="32"/>
          <w:szCs w:val="32"/>
          <w:lang w:val="en-US" w:eastAsia="zh-CN" w:bidi="ar-SA"/>
        </w:rPr>
        <w:t>满意度95%以上。</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kern w:val="2"/>
          <w:sz w:val="32"/>
          <w:szCs w:val="32"/>
          <w:highlight w:val="none"/>
          <w:lang w:val="en-US" w:eastAsia="zh-CN" w:bidi="ar-SA"/>
        </w:rPr>
      </w:pPr>
      <w:r>
        <w:rPr>
          <w:rFonts w:hint="eastAsia" w:ascii="仿宋" w:hAnsi="仿宋" w:eastAsia="仿宋" w:cs="Times New Roman"/>
          <w:kern w:val="2"/>
          <w:sz w:val="32"/>
          <w:szCs w:val="32"/>
          <w:lang w:val="en-US" w:eastAsia="zh-CN" w:bidi="ar-SA"/>
        </w:rPr>
        <w:t>打造丰富多彩节庆活动。在积极开展群众性文化活动的同时，注重“品牌”意识。以“非遗+文创”创新文化活动品牌，打造了“戏曲进校园 非遗共传承”品牌特色活动，组织了省市各类手工类非遗项目进社区参展表演</w:t>
      </w:r>
      <w:r>
        <w:rPr>
          <w:rFonts w:hint="eastAsia" w:ascii="仿宋" w:hAnsi="仿宋" w:eastAsia="仿宋" w:cs="仿宋"/>
          <w:sz w:val="32"/>
          <w:szCs w:val="32"/>
          <w:lang w:val="en-US" w:eastAsia="zh-CN"/>
        </w:rPr>
        <w:t>。但在绩效这一块还存在一些偏差，由于受疫情影响，</w:t>
      </w:r>
      <w:r>
        <w:rPr>
          <w:rFonts w:hint="eastAsia" w:ascii="仿宋" w:hAnsi="仿宋" w:eastAsia="仿宋" w:cs="Times New Roman"/>
          <w:kern w:val="2"/>
          <w:sz w:val="32"/>
          <w:szCs w:val="32"/>
          <w:lang w:val="en-US" w:eastAsia="zh-CN" w:bidi="ar-SA"/>
        </w:rPr>
        <w:t>文旅活动的群众受益面未达到要求</w:t>
      </w:r>
      <w:r>
        <w:rPr>
          <w:rFonts w:hint="eastAsia" w:ascii="仿宋" w:hAnsi="仿宋" w:eastAsia="仿宋"/>
          <w:sz w:val="32"/>
          <w:szCs w:val="32"/>
          <w:lang w:val="en-US" w:eastAsia="zh-CN"/>
        </w:rPr>
        <w:t>。</w:t>
      </w:r>
    </w:p>
    <w:p>
      <w:pPr>
        <w:spacing w:line="360" w:lineRule="auto"/>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六、有关建议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kern w:val="2"/>
          <w:sz w:val="32"/>
          <w:szCs w:val="32"/>
          <w:lang w:val="en-US" w:eastAsia="zh-CN" w:bidi="ar-SA"/>
        </w:rPr>
        <w:t>下一步</w:t>
      </w:r>
      <w:r>
        <w:rPr>
          <w:rFonts w:hint="eastAsia" w:ascii="仿宋" w:hAnsi="仿宋" w:eastAsia="仿宋" w:cs="仿宋"/>
          <w:sz w:val="32"/>
          <w:szCs w:val="32"/>
          <w:lang w:val="en-US" w:eastAsia="zh-CN"/>
        </w:rPr>
        <w:t>加大对旅游景区活动的宣传、推广、策划。走群众路线，以群众需求为主，打造群众满意的文旅活动场所</w:t>
      </w:r>
      <w:r>
        <w:rPr>
          <w:rFonts w:hint="eastAsia" w:ascii="仿宋" w:hAnsi="仿宋" w:eastAsia="仿宋" w:cs="仿宋"/>
          <w:kern w:val="2"/>
          <w:sz w:val="32"/>
          <w:szCs w:val="32"/>
          <w:lang w:val="en-US" w:eastAsia="zh-CN" w:bidi="ar-SA"/>
        </w:rPr>
        <w:t>。</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七、其他需要说明的问题</w:t>
      </w:r>
    </w:p>
    <w:p>
      <w:pPr>
        <w:pStyle w:val="9"/>
        <w:spacing w:line="360" w:lineRule="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无</w:t>
      </w:r>
    </w:p>
    <w:p>
      <w:pPr>
        <w:pStyle w:val="9"/>
        <w:spacing w:line="360" w:lineRule="auto"/>
        <w:ind w:left="0" w:leftChars="0" w:firstLine="0" w:firstLineChars="0"/>
        <w:rPr>
          <w:rFonts w:hint="eastAsia" w:ascii="仿宋" w:hAnsi="仿宋" w:eastAsia="仿宋" w:cs="仿宋"/>
          <w:kern w:val="2"/>
          <w:sz w:val="32"/>
          <w:szCs w:val="32"/>
          <w:lang w:val="en-US" w:eastAsia="zh-CN" w:bidi="ar-SA"/>
        </w:rPr>
        <w:sectPr>
          <w:headerReference r:id="rId3" w:type="default"/>
          <w:footerReference r:id="rId4" w:type="default"/>
          <w:pgSz w:w="11906" w:h="16838"/>
          <w:pgMar w:top="1418" w:right="1418" w:bottom="1418" w:left="1418" w:header="851" w:footer="992" w:gutter="0"/>
          <w:cols w:space="720" w:num="1"/>
          <w:docGrid w:type="lines" w:linePitch="312" w:charSpace="0"/>
        </w:sectPr>
      </w:pPr>
    </w:p>
    <w:p>
      <w:pPr>
        <w:spacing w:line="360" w:lineRule="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27961"/>
    <w:multiLevelType w:val="singleLevel"/>
    <w:tmpl w:val="84527961"/>
    <w:lvl w:ilvl="0" w:tentative="0">
      <w:start w:val="2"/>
      <w:numFmt w:val="decimal"/>
      <w:suff w:val="nothing"/>
      <w:lvlText w:val="（%1）"/>
      <w:lvlJc w:val="left"/>
    </w:lvl>
  </w:abstractNum>
  <w:abstractNum w:abstractNumId="1">
    <w:nsid w:val="6E7D0D7B"/>
    <w:multiLevelType w:val="singleLevel"/>
    <w:tmpl w:val="6E7D0D7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E1E55"/>
    <w:rsid w:val="008D2004"/>
    <w:rsid w:val="01035C69"/>
    <w:rsid w:val="016B73FA"/>
    <w:rsid w:val="021144D0"/>
    <w:rsid w:val="027A04E0"/>
    <w:rsid w:val="02B65DDA"/>
    <w:rsid w:val="038E44E3"/>
    <w:rsid w:val="054C11F7"/>
    <w:rsid w:val="06E24A60"/>
    <w:rsid w:val="06F272CE"/>
    <w:rsid w:val="06FA221F"/>
    <w:rsid w:val="0B284B6B"/>
    <w:rsid w:val="0DA55F66"/>
    <w:rsid w:val="0E374CA2"/>
    <w:rsid w:val="0E9B7B8B"/>
    <w:rsid w:val="0F971FE4"/>
    <w:rsid w:val="12334BD3"/>
    <w:rsid w:val="126B39F7"/>
    <w:rsid w:val="12E2180E"/>
    <w:rsid w:val="1607552C"/>
    <w:rsid w:val="16481A05"/>
    <w:rsid w:val="16777A8C"/>
    <w:rsid w:val="168A35A0"/>
    <w:rsid w:val="18D06FAC"/>
    <w:rsid w:val="18E17A7F"/>
    <w:rsid w:val="18FB196D"/>
    <w:rsid w:val="191F0AFE"/>
    <w:rsid w:val="19B12EEB"/>
    <w:rsid w:val="1A3B245A"/>
    <w:rsid w:val="1BB42F33"/>
    <w:rsid w:val="1CE7762E"/>
    <w:rsid w:val="1DE238EE"/>
    <w:rsid w:val="1DF22BD8"/>
    <w:rsid w:val="1E650B25"/>
    <w:rsid w:val="1F8A45F6"/>
    <w:rsid w:val="1F983356"/>
    <w:rsid w:val="20297616"/>
    <w:rsid w:val="238B3431"/>
    <w:rsid w:val="24E02CAB"/>
    <w:rsid w:val="298C57E5"/>
    <w:rsid w:val="2A1F4B65"/>
    <w:rsid w:val="2B20699C"/>
    <w:rsid w:val="2C2177E5"/>
    <w:rsid w:val="2C77621F"/>
    <w:rsid w:val="2DA838DA"/>
    <w:rsid w:val="2E3C4F95"/>
    <w:rsid w:val="2EEA0226"/>
    <w:rsid w:val="3096519B"/>
    <w:rsid w:val="311A4411"/>
    <w:rsid w:val="3310571E"/>
    <w:rsid w:val="356D1823"/>
    <w:rsid w:val="36355C0D"/>
    <w:rsid w:val="36896435"/>
    <w:rsid w:val="39564358"/>
    <w:rsid w:val="3BE437CD"/>
    <w:rsid w:val="3D143418"/>
    <w:rsid w:val="3EA61677"/>
    <w:rsid w:val="3F0B3282"/>
    <w:rsid w:val="3F995AC9"/>
    <w:rsid w:val="402E2197"/>
    <w:rsid w:val="432E1E55"/>
    <w:rsid w:val="459E73CE"/>
    <w:rsid w:val="45A703AC"/>
    <w:rsid w:val="48BB7D9E"/>
    <w:rsid w:val="4934042B"/>
    <w:rsid w:val="498345C1"/>
    <w:rsid w:val="49953DEA"/>
    <w:rsid w:val="4E15335C"/>
    <w:rsid w:val="4F8022C7"/>
    <w:rsid w:val="509B012E"/>
    <w:rsid w:val="51432589"/>
    <w:rsid w:val="517777E1"/>
    <w:rsid w:val="52704A2B"/>
    <w:rsid w:val="53153351"/>
    <w:rsid w:val="53EC543A"/>
    <w:rsid w:val="53F03083"/>
    <w:rsid w:val="54B71D9C"/>
    <w:rsid w:val="57045559"/>
    <w:rsid w:val="5A272F77"/>
    <w:rsid w:val="5A274050"/>
    <w:rsid w:val="5A750017"/>
    <w:rsid w:val="5BDB2479"/>
    <w:rsid w:val="5C01446E"/>
    <w:rsid w:val="5E2265A9"/>
    <w:rsid w:val="5E726C7C"/>
    <w:rsid w:val="5F4F55D0"/>
    <w:rsid w:val="5FB71C99"/>
    <w:rsid w:val="602C1947"/>
    <w:rsid w:val="60510C97"/>
    <w:rsid w:val="61515A67"/>
    <w:rsid w:val="61E900F8"/>
    <w:rsid w:val="61F669E9"/>
    <w:rsid w:val="62C16AB8"/>
    <w:rsid w:val="62E26247"/>
    <w:rsid w:val="632503DD"/>
    <w:rsid w:val="63482759"/>
    <w:rsid w:val="651509C0"/>
    <w:rsid w:val="690C0E6A"/>
    <w:rsid w:val="6B8E7875"/>
    <w:rsid w:val="6CDF1141"/>
    <w:rsid w:val="6E001E5D"/>
    <w:rsid w:val="6E3A5DF6"/>
    <w:rsid w:val="6E3F1B44"/>
    <w:rsid w:val="6E6632EE"/>
    <w:rsid w:val="6E781820"/>
    <w:rsid w:val="6E8C627A"/>
    <w:rsid w:val="701D76DE"/>
    <w:rsid w:val="703854A6"/>
    <w:rsid w:val="711336C3"/>
    <w:rsid w:val="71173E18"/>
    <w:rsid w:val="7324342C"/>
    <w:rsid w:val="73C92209"/>
    <w:rsid w:val="749C4551"/>
    <w:rsid w:val="75C14429"/>
    <w:rsid w:val="76C31ED7"/>
    <w:rsid w:val="770D1BD2"/>
    <w:rsid w:val="77893CAD"/>
    <w:rsid w:val="778B2205"/>
    <w:rsid w:val="78B36CB1"/>
    <w:rsid w:val="78F06F55"/>
    <w:rsid w:val="7A3A5312"/>
    <w:rsid w:val="7BB70127"/>
    <w:rsid w:val="7BCC0AE9"/>
    <w:rsid w:val="7C446C7B"/>
    <w:rsid w:val="7C4C581B"/>
    <w:rsid w:val="7D5E124D"/>
    <w:rsid w:val="7DBB07B6"/>
    <w:rsid w:val="7E1C2D09"/>
    <w:rsid w:val="7EF275FA"/>
    <w:rsid w:val="7EFD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4">
    <w:name w:val="caption"/>
    <w:basedOn w:val="1"/>
    <w:next w:val="1"/>
    <w:semiHidden/>
    <w:unhideWhenUsed/>
    <w:qFormat/>
    <w:uiPriority w:val="0"/>
    <w:rPr>
      <w:rFonts w:ascii="Arial" w:hAnsi="Arial" w:eastAsia="黑体"/>
      <w:sz w:val="20"/>
    </w:rPr>
  </w:style>
  <w:style w:type="paragraph" w:styleId="5">
    <w:name w:val="Plain Text"/>
    <w:basedOn w:val="1"/>
    <w:unhideWhenUsed/>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qFormat/>
    <w:uiPriority w:val="99"/>
    <w:pPr>
      <w:widowControl w:val="0"/>
      <w:ind w:left="420" w:leftChars="200" w:firstLine="420" w:firstLineChars="200"/>
      <w:jc w:val="both"/>
    </w:pPr>
    <w:rPr>
      <w:rFonts w:ascii="Times New Roman" w:hAnsi="Times New Roman" w:eastAsia="仿宋_GB2312" w:cs="Times New Roman"/>
      <w:kern w:val="2"/>
      <w:sz w:val="30"/>
      <w:szCs w:val="30"/>
      <w:lang w:val="en-US" w:eastAsia="zh-CN" w:bidi="ar-SA"/>
    </w:rPr>
  </w:style>
  <w:style w:type="paragraph" w:customStyle="1" w:styleId="12">
    <w:name w:val="Body Text First Indent 21"/>
    <w:qFormat/>
    <w:uiPriority w:val="0"/>
    <w:pPr>
      <w:framePr w:wrap="around" w:vAnchor="margin" w:hAnchor="text" w:y="1"/>
      <w:widowControl w:val="0"/>
      <w:ind w:left="420" w:firstLine="210"/>
      <w:jc w:val="both"/>
    </w:pPr>
    <w:rPr>
      <w:rFonts w:ascii="Calibri" w:hAnsi="Calibri" w:eastAsia="Times New Roman" w:cs="Calibri"/>
      <w:color w:val="000000"/>
      <w:kern w:val="2"/>
      <w:sz w:val="21"/>
      <w:szCs w:val="21"/>
      <w:lang w:val="en-US" w:eastAsia="zh-CN" w:bidi="ar-SA"/>
    </w:rPr>
  </w:style>
  <w:style w:type="paragraph" w:styleId="13">
    <w:name w:val="List Paragraph"/>
    <w:basedOn w:val="1"/>
    <w:qFormat/>
    <w:uiPriority w:val="34"/>
    <w:pPr>
      <w:ind w:firstLine="420" w:firstLineChars="200"/>
    </w:pPr>
  </w:style>
  <w:style w:type="paragraph" w:customStyle="1" w:styleId="14">
    <w:name w:val="无间隔1"/>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2021-03-25T03:27:00Z</dcterms:created>
  <dc:creator>Aallot</dc:creator>
  <cp:lastModifiedBy>小明</cp:lastModifiedBy>
  <dcterms:modified xsi:type="dcterms:W3CDTF">2021-06-03T03:22:09Z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2DBE397F7ECB4134B4DC19AC1EC910D9</vt:lpwstr>
  </property>
</Properties>
</file>