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left"/>
        <w:rPr>
          <w:rFonts w:hint="default" w:ascii="仿宋" w:hAnsi="仿宋" w:eastAsia="黑体"/>
          <w:b/>
          <w:bCs/>
          <w:sz w:val="44"/>
          <w:szCs w:val="44"/>
          <w:lang w:val="en-US" w:eastAsia="zh-CN"/>
        </w:rPr>
      </w:pPr>
      <w:r>
        <w:rPr>
          <w:rFonts w:hint="eastAsia" w:ascii="黑体" w:hAnsi="黑体" w:eastAsia="黑体" w:cs="仿宋_GB2312"/>
          <w:sz w:val="32"/>
          <w:szCs w:val="32"/>
        </w:rPr>
        <w:t>附件3</w:t>
      </w:r>
      <w:r>
        <w:rPr>
          <w:rFonts w:hint="eastAsia" w:ascii="黑体" w:hAnsi="黑体" w:eastAsia="黑体" w:cs="仿宋_GB2312"/>
          <w:sz w:val="32"/>
          <w:szCs w:val="32"/>
          <w:lang w:val="en-US" w:eastAsia="zh-CN"/>
        </w:rPr>
        <w:t>-1</w:t>
      </w:r>
    </w:p>
    <w:p>
      <w:pPr>
        <w:spacing w:line="578" w:lineRule="exact"/>
        <w:jc w:val="center"/>
        <w:rPr>
          <w:rFonts w:ascii="仿宋" w:hAnsi="仿宋" w:eastAsia="仿宋"/>
          <w:b/>
          <w:bCs/>
          <w:sz w:val="44"/>
          <w:szCs w:val="44"/>
        </w:rPr>
      </w:pPr>
      <w:r>
        <w:rPr>
          <w:rFonts w:hint="eastAsia" w:ascii="仿宋" w:hAnsi="仿宋" w:eastAsia="仿宋"/>
          <w:b/>
          <w:bCs/>
          <w:sz w:val="44"/>
          <w:szCs w:val="44"/>
        </w:rPr>
        <w:t>项目支出绩效评价</w:t>
      </w:r>
      <w:r>
        <w:rPr>
          <w:rFonts w:hint="eastAsia" w:ascii="仿宋" w:hAnsi="仿宋" w:eastAsia="仿宋"/>
          <w:b/>
          <w:bCs/>
          <w:sz w:val="44"/>
          <w:szCs w:val="44"/>
          <w:lang w:val="en-US" w:eastAsia="zh-CN"/>
        </w:rPr>
        <w:t>总</w:t>
      </w:r>
      <w:r>
        <w:rPr>
          <w:rFonts w:hint="eastAsia" w:ascii="仿宋" w:hAnsi="仿宋" w:eastAsia="仿宋"/>
          <w:b/>
          <w:bCs/>
          <w:sz w:val="44"/>
          <w:szCs w:val="44"/>
        </w:rPr>
        <w:t>报告</w:t>
      </w:r>
    </w:p>
    <w:p>
      <w:pPr>
        <w:spacing w:line="578" w:lineRule="exact"/>
        <w:rPr>
          <w:rFonts w:ascii="仿宋" w:hAnsi="仿宋" w:eastAsia="仿宋"/>
          <w:szCs w:val="32"/>
        </w:rPr>
      </w:pPr>
    </w:p>
    <w:p>
      <w:pPr>
        <w:spacing w:line="578" w:lineRule="exact"/>
        <w:jc w:val="both"/>
        <w:rPr>
          <w:rFonts w:hint="eastAsia" w:ascii="仿宋" w:hAnsi="仿宋" w:eastAsia="仿宋" w:cs="仿宋"/>
          <w:sz w:val="28"/>
          <w:szCs w:val="28"/>
          <w:lang w:val="en-US" w:eastAsia="zh-CN"/>
        </w:rPr>
      </w:pPr>
    </w:p>
    <w:p>
      <w:pPr>
        <w:spacing w:line="578" w:lineRule="exact"/>
        <w:jc w:val="both"/>
        <w:rPr>
          <w:rFonts w:hint="eastAsia" w:ascii="仿宋" w:hAnsi="仿宋" w:eastAsia="仿宋" w:cs="仿宋"/>
          <w:sz w:val="28"/>
          <w:szCs w:val="28"/>
          <w:lang w:val="en-US" w:eastAsia="zh-CN"/>
        </w:rPr>
      </w:pPr>
    </w:p>
    <w:p>
      <w:pPr>
        <w:spacing w:line="578" w:lineRule="exact"/>
        <w:ind w:firstLine="1400" w:firstLineChars="500"/>
        <w:jc w:val="both"/>
        <w:rPr>
          <w:rFonts w:hint="eastAsia" w:ascii="仿宋" w:hAnsi="仿宋" w:eastAsia="仿宋" w:cs="仿宋"/>
          <w:sz w:val="28"/>
          <w:szCs w:val="28"/>
          <w:u w:val="single"/>
        </w:rPr>
      </w:pPr>
      <w:r>
        <w:rPr>
          <w:rFonts w:hint="eastAsia" w:ascii="仿宋" w:hAnsi="仿宋" w:eastAsia="仿宋" w:cs="仿宋"/>
          <w:sz w:val="28"/>
          <w:szCs w:val="28"/>
        </w:rPr>
        <w:t>评价类型：</w:t>
      </w:r>
      <w:r>
        <w:rPr>
          <w:rFonts w:hint="eastAsia" w:ascii="仿宋" w:hAnsi="仿宋" w:eastAsia="仿宋" w:cs="仿宋"/>
          <w:spacing w:val="-20"/>
          <w:sz w:val="28"/>
          <w:szCs w:val="28"/>
          <w:u w:val="single"/>
        </w:rPr>
        <w:t>□</w:t>
      </w:r>
      <w:r>
        <w:rPr>
          <w:rFonts w:hint="eastAsia" w:ascii="仿宋" w:hAnsi="仿宋" w:eastAsia="仿宋" w:cs="仿宋"/>
          <w:sz w:val="28"/>
          <w:szCs w:val="28"/>
          <w:u w:val="single"/>
        </w:rPr>
        <w:t>实施过程评价</w:t>
      </w:r>
      <w:r>
        <w:rPr>
          <w:rFonts w:hint="eastAsia" w:ascii="仿宋" w:hAnsi="仿宋" w:eastAsia="仿宋" w:cs="仿宋"/>
          <w:sz w:val="28"/>
          <w:szCs w:val="28"/>
        </w:rPr>
        <w:t xml:space="preserve">      </w:t>
      </w:r>
      <w:r>
        <w:rPr>
          <w:rFonts w:hint="eastAsia" w:ascii="仿宋" w:hAnsi="仿宋" w:eastAsia="仿宋" w:cs="仿宋"/>
          <w:spacing w:val="-20"/>
          <w:sz w:val="28"/>
          <w:szCs w:val="28"/>
          <w:u w:val="single"/>
        </w:rPr>
        <w:sym w:font="Wingdings" w:char="00FE"/>
      </w:r>
      <w:r>
        <w:rPr>
          <w:rFonts w:hint="eastAsia" w:ascii="仿宋" w:hAnsi="仿宋" w:eastAsia="仿宋" w:cs="仿宋"/>
          <w:sz w:val="28"/>
          <w:szCs w:val="28"/>
          <w:u w:val="single"/>
        </w:rPr>
        <w:t>完成结果评价</w:t>
      </w:r>
    </w:p>
    <w:p>
      <w:pPr>
        <w:spacing w:line="578" w:lineRule="exact"/>
        <w:ind w:left="1396" w:leftChars="665" w:firstLine="0" w:firstLineChars="0"/>
        <w:jc w:val="left"/>
        <w:rPr>
          <w:rFonts w:hint="default" w:ascii="仿宋" w:hAnsi="仿宋" w:eastAsia="仿宋" w:cs="仿宋"/>
          <w:sz w:val="28"/>
          <w:szCs w:val="28"/>
          <w:u w:val="single"/>
          <w:lang w:val="en-US" w:eastAsia="zh-CN"/>
        </w:rPr>
      </w:pPr>
      <w:r>
        <w:rPr>
          <w:rFonts w:hint="eastAsia" w:ascii="仿宋" w:hAnsi="仿宋" w:eastAsia="仿宋" w:cs="仿宋"/>
          <w:sz w:val="28"/>
          <w:szCs w:val="28"/>
        </w:rPr>
        <w:t>项目名称：</w:t>
      </w:r>
      <w:r>
        <w:rPr>
          <w:rFonts w:hint="eastAsia" w:ascii="仿宋" w:hAnsi="仿宋" w:eastAsia="仿宋" w:cs="仿宋"/>
          <w:sz w:val="28"/>
          <w:szCs w:val="28"/>
          <w:u w:val="single"/>
          <w:lang w:val="en-US" w:eastAsia="zh-CN"/>
        </w:rPr>
        <w:t xml:space="preserve"> 文管所业务经费、旅游工作经费、图书购置、图书馆免费开放、文化发展资金、文化馆免费开放、非物资文化遗产             </w:t>
      </w:r>
    </w:p>
    <w:p>
      <w:pPr>
        <w:spacing w:line="578" w:lineRule="exact"/>
        <w:ind w:left="1396" w:leftChars="665" w:firstLine="0" w:firstLineChars="0"/>
        <w:jc w:val="both"/>
        <w:rPr>
          <w:rFonts w:hint="default" w:ascii="仿宋" w:hAnsi="仿宋" w:eastAsia="仿宋" w:cs="仿宋"/>
          <w:sz w:val="28"/>
          <w:szCs w:val="28"/>
          <w:lang w:val="en-US" w:eastAsia="zh-CN"/>
        </w:rPr>
      </w:pPr>
      <w:r>
        <w:rPr>
          <w:rFonts w:hint="eastAsia" w:ascii="仿宋" w:hAnsi="仿宋" w:eastAsia="仿宋" w:cs="仿宋"/>
          <w:sz w:val="28"/>
          <w:szCs w:val="28"/>
        </w:rPr>
        <w:t xml:space="preserve">项目单位：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西湖区文化广电新闻出版旅游局 、西湖区文化馆、西湖区图书馆           </w:t>
      </w:r>
    </w:p>
    <w:p>
      <w:pPr>
        <w:spacing w:line="578" w:lineRule="exact"/>
        <w:ind w:firstLine="1400" w:firstLineChars="500"/>
        <w:jc w:val="both"/>
        <w:rPr>
          <w:rFonts w:hint="default" w:ascii="仿宋" w:hAnsi="仿宋" w:eastAsia="仿宋" w:cs="仿宋"/>
          <w:sz w:val="28"/>
          <w:szCs w:val="28"/>
          <w:lang w:val="en-US" w:eastAsia="zh-CN"/>
        </w:rPr>
      </w:pPr>
      <w:r>
        <w:rPr>
          <w:rFonts w:hint="eastAsia" w:ascii="仿宋" w:hAnsi="仿宋" w:eastAsia="仿宋" w:cs="仿宋"/>
          <w:sz w:val="28"/>
          <w:szCs w:val="28"/>
        </w:rPr>
        <w:t xml:space="preserve">主管部门： </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西湖区文化广电新闻出版旅游局                     </w:t>
      </w:r>
    </w:p>
    <w:p>
      <w:pPr>
        <w:spacing w:line="578" w:lineRule="exact"/>
        <w:ind w:firstLine="1400" w:firstLineChars="500"/>
        <w:jc w:val="both"/>
        <w:rPr>
          <w:rFonts w:hint="eastAsia" w:ascii="仿宋" w:hAnsi="仿宋" w:eastAsia="仿宋" w:cs="仿宋"/>
          <w:sz w:val="28"/>
          <w:szCs w:val="28"/>
          <w:u w:val="single"/>
        </w:rPr>
      </w:pPr>
      <w:r>
        <w:rPr>
          <w:rFonts w:hint="eastAsia" w:ascii="仿宋" w:hAnsi="仿宋" w:eastAsia="仿宋" w:cs="仿宋"/>
          <w:sz w:val="28"/>
          <w:szCs w:val="28"/>
        </w:rPr>
        <w:t xml:space="preserve">评价时间： </w:t>
      </w:r>
      <w:r>
        <w:rPr>
          <w:rFonts w:hint="eastAsia" w:ascii="仿宋" w:hAnsi="仿宋" w:eastAsia="仿宋" w:cs="仿宋"/>
          <w:sz w:val="28"/>
          <w:szCs w:val="28"/>
          <w:u w:val="single"/>
        </w:rPr>
        <w:t xml:space="preserve"> 202</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rPr>
        <w:t xml:space="preserve"> 年</w:t>
      </w:r>
      <w:r>
        <w:rPr>
          <w:rFonts w:hint="eastAsia" w:ascii="仿宋" w:hAnsi="仿宋" w:eastAsia="仿宋" w:cs="仿宋"/>
          <w:sz w:val="28"/>
          <w:szCs w:val="28"/>
          <w:u w:val="single"/>
          <w:lang w:val="en-US" w:eastAsia="zh-CN"/>
        </w:rPr>
        <w:t>4</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 xml:space="preserve">1  </w:t>
      </w:r>
      <w:r>
        <w:rPr>
          <w:rFonts w:hint="eastAsia" w:ascii="仿宋" w:hAnsi="仿宋" w:eastAsia="仿宋" w:cs="仿宋"/>
          <w:sz w:val="28"/>
          <w:szCs w:val="28"/>
          <w:u w:val="single"/>
        </w:rPr>
        <w:t>日至 202</w:t>
      </w:r>
      <w:r>
        <w:rPr>
          <w:rFonts w:hint="eastAsia" w:ascii="仿宋" w:hAnsi="仿宋" w:eastAsia="仿宋" w:cs="仿宋"/>
          <w:sz w:val="28"/>
          <w:szCs w:val="28"/>
          <w:u w:val="single"/>
          <w:lang w:val="en-US" w:eastAsia="zh-CN"/>
        </w:rPr>
        <w:t>1</w:t>
      </w:r>
      <w:r>
        <w:rPr>
          <w:rFonts w:hint="eastAsia" w:ascii="仿宋" w:hAnsi="仿宋" w:eastAsia="仿宋" w:cs="仿宋"/>
          <w:sz w:val="28"/>
          <w:szCs w:val="28"/>
          <w:u w:val="single"/>
        </w:rPr>
        <w:t xml:space="preserve">年 </w:t>
      </w:r>
      <w:r>
        <w:rPr>
          <w:rFonts w:hint="eastAsia" w:ascii="仿宋" w:hAnsi="仿宋" w:eastAsia="仿宋" w:cs="仿宋"/>
          <w:sz w:val="28"/>
          <w:szCs w:val="28"/>
          <w:u w:val="single"/>
          <w:lang w:val="en-US" w:eastAsia="zh-CN"/>
        </w:rPr>
        <w:t>4</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30</w:t>
      </w:r>
      <w:r>
        <w:rPr>
          <w:rFonts w:hint="eastAsia" w:ascii="仿宋" w:hAnsi="仿宋" w:eastAsia="仿宋" w:cs="仿宋"/>
          <w:sz w:val="28"/>
          <w:szCs w:val="28"/>
          <w:u w:val="single"/>
        </w:rPr>
        <w:t>日</w:t>
      </w:r>
    </w:p>
    <w:p>
      <w:pPr>
        <w:spacing w:line="578" w:lineRule="exact"/>
        <w:ind w:left="1050" w:hanging="1050" w:hangingChars="500"/>
        <w:rPr>
          <w:rFonts w:hint="eastAsia" w:ascii="仿宋" w:hAnsi="仿宋" w:eastAsia="仿宋" w:cs="仿宋"/>
          <w:sz w:val="28"/>
          <w:szCs w:val="28"/>
          <w:u w:val="single"/>
        </w:rPr>
      </w:pPr>
      <w:r>
        <w:rPr>
          <w:rFonts w:hint="eastAsia" w:ascii="仿宋" w:hAnsi="仿宋" w:eastAsia="仿宋" w:cs="仿宋"/>
          <w:szCs w:val="32"/>
        </w:rPr>
        <w:t xml:space="preserve">       </w:t>
      </w:r>
      <w:r>
        <w:rPr>
          <w:rFonts w:hint="eastAsia" w:ascii="仿宋" w:hAnsi="仿宋" w:eastAsia="仿宋" w:cs="仿宋"/>
          <w:szCs w:val="32"/>
          <w:u w:val="none"/>
        </w:rPr>
        <w:t xml:space="preserve"> </w:t>
      </w:r>
      <w:r>
        <w:rPr>
          <w:rFonts w:hint="eastAsia" w:ascii="仿宋" w:hAnsi="仿宋" w:eastAsia="仿宋" w:cs="仿宋"/>
          <w:sz w:val="28"/>
          <w:szCs w:val="28"/>
          <w:u w:val="none"/>
        </w:rPr>
        <w:t xml:space="preserve">  </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none"/>
        </w:rPr>
        <w:t>组织方式：</w:t>
      </w:r>
      <w:r>
        <w:rPr>
          <w:rFonts w:hint="eastAsia" w:ascii="仿宋" w:hAnsi="仿宋" w:eastAsia="仿宋" w:cs="仿宋"/>
          <w:sz w:val="28"/>
          <w:szCs w:val="28"/>
          <w:u w:val="single"/>
        </w:rPr>
        <w:t>□财政部门</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rPr>
        <w:t xml:space="preserve">   </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u w:val="single"/>
        </w:rPr>
        <w:t>□主管部门</w:t>
      </w:r>
      <w:r>
        <w:rPr>
          <w:rFonts w:hint="eastAsia" w:ascii="仿宋" w:hAnsi="仿宋" w:eastAsia="仿宋" w:cs="仿宋"/>
          <w:sz w:val="28"/>
          <w:szCs w:val="28"/>
          <w:u w:val="none"/>
        </w:rPr>
        <w:t xml:space="preserve">   </w:t>
      </w:r>
      <w:r>
        <w:rPr>
          <w:rFonts w:hint="eastAsia" w:ascii="仿宋" w:hAnsi="仿宋" w:eastAsia="仿宋" w:cs="仿宋"/>
          <w:sz w:val="28"/>
          <w:szCs w:val="28"/>
          <w:u w:val="single"/>
        </w:rPr>
        <w:sym w:font="Wingdings" w:char="00FE"/>
      </w:r>
      <w:r>
        <w:rPr>
          <w:rFonts w:hint="eastAsia" w:ascii="仿宋" w:hAnsi="仿宋" w:eastAsia="仿宋" w:cs="仿宋"/>
          <w:sz w:val="28"/>
          <w:szCs w:val="28"/>
          <w:u w:val="single"/>
        </w:rPr>
        <w:t>项目单位</w:t>
      </w:r>
    </w:p>
    <w:p>
      <w:pPr>
        <w:spacing w:line="578" w:lineRule="exact"/>
        <w:ind w:left="1050" w:hanging="1400" w:hangingChars="500"/>
        <w:jc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评价机构：</w:t>
      </w:r>
      <w:r>
        <w:rPr>
          <w:rFonts w:hint="eastAsia" w:ascii="仿宋" w:hAnsi="仿宋" w:eastAsia="仿宋" w:cs="仿宋"/>
          <w:spacing w:val="-20"/>
          <w:sz w:val="28"/>
          <w:szCs w:val="28"/>
          <w:u w:val="single"/>
          <w:lang w:eastAsia="zh-CN"/>
        </w:rPr>
        <w:t>□</w:t>
      </w:r>
      <w:r>
        <w:rPr>
          <w:rFonts w:hint="eastAsia" w:ascii="仿宋" w:hAnsi="仿宋" w:eastAsia="仿宋" w:cs="仿宋"/>
          <w:sz w:val="28"/>
          <w:szCs w:val="28"/>
          <w:u w:val="single"/>
        </w:rPr>
        <w:t xml:space="preserve">第三方机构 </w:t>
      </w:r>
      <w:r>
        <w:rPr>
          <w:rFonts w:hint="eastAsia" w:ascii="仿宋" w:hAnsi="仿宋" w:eastAsia="仿宋" w:cs="仿宋"/>
          <w:sz w:val="28"/>
          <w:szCs w:val="28"/>
        </w:rPr>
        <w:t xml:space="preserve">  </w:t>
      </w:r>
      <w:r>
        <w:rPr>
          <w:rFonts w:hint="eastAsia" w:ascii="仿宋" w:hAnsi="仿宋" w:eastAsia="仿宋" w:cs="仿宋"/>
          <w:spacing w:val="-20"/>
          <w:sz w:val="28"/>
          <w:szCs w:val="28"/>
          <w:u w:val="single"/>
        </w:rPr>
        <w:t>□</w:t>
      </w:r>
      <w:r>
        <w:rPr>
          <w:rFonts w:hint="eastAsia" w:ascii="仿宋" w:hAnsi="仿宋" w:eastAsia="仿宋" w:cs="仿宋"/>
          <w:sz w:val="28"/>
          <w:szCs w:val="28"/>
          <w:u w:val="single"/>
        </w:rPr>
        <w:t xml:space="preserve">专家组 </w:t>
      </w:r>
      <w:r>
        <w:rPr>
          <w:rFonts w:hint="eastAsia" w:ascii="仿宋" w:hAnsi="仿宋" w:eastAsia="仿宋" w:cs="仿宋"/>
          <w:sz w:val="28"/>
          <w:szCs w:val="28"/>
        </w:rPr>
        <w:t xml:space="preserve">  </w:t>
      </w:r>
      <w:r>
        <w:rPr>
          <w:rFonts w:hint="eastAsia" w:ascii="仿宋" w:hAnsi="仿宋" w:eastAsia="仿宋" w:cs="仿宋"/>
          <w:spacing w:val="-20"/>
          <w:sz w:val="28"/>
          <w:szCs w:val="28"/>
          <w:u w:val="single"/>
        </w:rPr>
        <w:sym w:font="Wingdings" w:char="00FE"/>
      </w:r>
      <w:r>
        <w:rPr>
          <w:rFonts w:hint="eastAsia" w:ascii="仿宋" w:hAnsi="仿宋" w:eastAsia="仿宋" w:cs="仿宋"/>
          <w:sz w:val="28"/>
          <w:szCs w:val="28"/>
          <w:u w:val="single"/>
        </w:rPr>
        <w:t>项目单位评价组</w:t>
      </w:r>
    </w:p>
    <w:p>
      <w:pPr>
        <w:spacing w:line="578" w:lineRule="exact"/>
        <w:ind w:left="1050" w:hanging="1050" w:hangingChars="500"/>
        <w:jc w:val="center"/>
        <w:rPr>
          <w:rFonts w:ascii="仿宋" w:hAnsi="仿宋" w:eastAsia="仿宋" w:cs="仿宋"/>
          <w:szCs w:val="32"/>
        </w:rPr>
      </w:pPr>
    </w:p>
    <w:p>
      <w:pPr>
        <w:pStyle w:val="9"/>
        <w:ind w:left="0" w:leftChars="0" w:firstLine="0" w:firstLineChars="0"/>
        <w:rPr>
          <w:rFonts w:ascii="仿宋" w:hAnsi="仿宋" w:eastAsia="仿宋" w:cs="仿宋"/>
          <w:szCs w:val="32"/>
        </w:rPr>
      </w:pPr>
    </w:p>
    <w:p>
      <w:pPr>
        <w:pStyle w:val="9"/>
        <w:ind w:left="0" w:leftChars="0" w:firstLine="0" w:firstLineChars="0"/>
        <w:rPr>
          <w:rFonts w:ascii="仿宋" w:hAnsi="仿宋" w:eastAsia="仿宋" w:cs="仿宋"/>
          <w:szCs w:val="32"/>
        </w:rPr>
      </w:pPr>
    </w:p>
    <w:p>
      <w:pPr>
        <w:spacing w:line="578" w:lineRule="exact"/>
        <w:ind w:left="1050" w:hanging="1050" w:hangingChars="500"/>
        <w:jc w:val="center"/>
        <w:rPr>
          <w:rFonts w:hint="eastAsia" w:ascii="仿宋" w:hAnsi="仿宋" w:eastAsia="仿宋" w:cs="仿宋"/>
          <w:sz w:val="28"/>
          <w:szCs w:val="28"/>
        </w:rPr>
      </w:pPr>
      <w:r>
        <w:rPr>
          <w:rFonts w:hint="eastAsia" w:ascii="仿宋" w:hAnsi="仿宋" w:eastAsia="仿宋" w:cs="仿宋"/>
          <w:szCs w:val="32"/>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评价单位（盖章）：</w:t>
      </w:r>
    </w:p>
    <w:p>
      <w:pPr>
        <w:spacing w:line="578" w:lineRule="exact"/>
        <w:ind w:left="1050" w:hanging="1400" w:hangingChars="50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上报时间：</w:t>
      </w:r>
      <w:r>
        <w:rPr>
          <w:rFonts w:hint="eastAsia" w:ascii="仿宋" w:hAnsi="仿宋" w:eastAsia="仿宋" w:cs="仿宋"/>
          <w:sz w:val="28"/>
          <w:szCs w:val="28"/>
          <w:lang w:val="en-US" w:eastAsia="zh-CN"/>
        </w:rPr>
        <w:t>2021年4月30日</w:t>
      </w:r>
    </w:p>
    <w:p>
      <w:pPr>
        <w:spacing w:line="578" w:lineRule="exact"/>
        <w:ind w:left="1050" w:hanging="1400" w:hangingChars="500"/>
        <w:jc w:val="center"/>
        <w:rPr>
          <w:rFonts w:hint="eastAsia" w:ascii="仿宋" w:hAnsi="仿宋" w:eastAsia="仿宋" w:cs="仿宋"/>
          <w:sz w:val="28"/>
          <w:szCs w:val="28"/>
        </w:rPr>
      </w:pPr>
      <w:r>
        <w:rPr>
          <w:rFonts w:hint="eastAsia" w:ascii="仿宋" w:hAnsi="仿宋" w:eastAsia="仿宋" w:cs="仿宋"/>
          <w:sz w:val="28"/>
          <w:szCs w:val="28"/>
        </w:rPr>
        <w:br w:type="page"/>
      </w:r>
    </w:p>
    <w:p>
      <w:pPr>
        <w:spacing w:line="400" w:lineRule="exact"/>
        <w:jc w:val="left"/>
        <w:rPr>
          <w:rFonts w:hint="default" w:ascii="仿宋" w:hAnsi="仿宋" w:eastAsia="黑体" w:cs="Arial"/>
          <w:b/>
          <w:bCs/>
          <w:sz w:val="44"/>
          <w:szCs w:val="44"/>
          <w:lang w:val="en-US" w:eastAsia="zh-CN"/>
        </w:rPr>
      </w:pPr>
      <w:r>
        <w:rPr>
          <w:rFonts w:hint="eastAsia" w:ascii="黑体" w:hAnsi="黑体" w:eastAsia="黑体" w:cs="仿宋_GB2312"/>
          <w:sz w:val="28"/>
          <w:szCs w:val="28"/>
        </w:rPr>
        <w:t>附件</w:t>
      </w:r>
      <w:r>
        <w:rPr>
          <w:rFonts w:hint="eastAsia" w:ascii="黑体" w:hAnsi="黑体" w:eastAsia="黑体" w:cs="仿宋_GB2312"/>
          <w:sz w:val="28"/>
          <w:szCs w:val="28"/>
          <w:lang w:val="en-US" w:eastAsia="zh-CN"/>
        </w:rPr>
        <w:t>3</w:t>
      </w:r>
      <w:r>
        <w:rPr>
          <w:rFonts w:hint="eastAsia" w:ascii="黑体" w:hAnsi="黑体" w:eastAsia="黑体" w:cs="仿宋_GB2312"/>
          <w:sz w:val="28"/>
          <w:szCs w:val="28"/>
        </w:rPr>
        <w:t>-</w:t>
      </w:r>
      <w:r>
        <w:rPr>
          <w:rFonts w:hint="eastAsia" w:ascii="黑体" w:hAnsi="黑体" w:eastAsia="黑体" w:cs="仿宋_GB2312"/>
          <w:sz w:val="28"/>
          <w:szCs w:val="28"/>
          <w:lang w:val="en-US" w:eastAsia="zh-CN"/>
        </w:rPr>
        <w:t>2</w:t>
      </w:r>
    </w:p>
    <w:p>
      <w:pPr>
        <w:jc w:val="center"/>
        <w:rPr>
          <w:rFonts w:hint="eastAsia" w:ascii="仿宋" w:hAnsi="仿宋" w:eastAsia="仿宋" w:cs="Arial"/>
          <w:b/>
          <w:bCs/>
          <w:sz w:val="44"/>
          <w:szCs w:val="44"/>
          <w:lang w:val="en-US" w:eastAsia="zh-CN"/>
        </w:rPr>
      </w:pPr>
      <w:r>
        <w:rPr>
          <w:rFonts w:hint="eastAsia" w:ascii="仿宋" w:hAnsi="仿宋" w:eastAsia="仿宋" w:cs="Arial"/>
          <w:b/>
          <w:bCs/>
          <w:sz w:val="44"/>
          <w:szCs w:val="44"/>
          <w:lang w:val="en-US" w:eastAsia="zh-CN"/>
        </w:rPr>
        <w:t>西湖区文化广电新闻出版旅游局</w:t>
      </w:r>
    </w:p>
    <w:p>
      <w:pPr>
        <w:jc w:val="center"/>
        <w:rPr>
          <w:rFonts w:hint="eastAsia" w:ascii="仿宋" w:hAnsi="仿宋" w:eastAsia="仿宋" w:cs="Arial"/>
          <w:b/>
          <w:bCs/>
          <w:sz w:val="44"/>
          <w:szCs w:val="44"/>
          <w:lang w:val="en-US" w:eastAsia="zh-CN"/>
        </w:rPr>
      </w:pPr>
      <w:r>
        <w:rPr>
          <w:rFonts w:hint="eastAsia" w:ascii="仿宋" w:hAnsi="仿宋" w:eastAsia="仿宋" w:cs="Arial"/>
          <w:b/>
          <w:bCs/>
          <w:sz w:val="44"/>
          <w:szCs w:val="44"/>
          <w:lang w:val="en-US" w:eastAsia="zh-CN"/>
        </w:rPr>
        <w:t>2020年度部门项目支出绩效自评总报告</w:t>
      </w:r>
    </w:p>
    <w:p>
      <w:pPr>
        <w:jc w:val="center"/>
        <w:rPr>
          <w:rFonts w:hint="eastAsia" w:ascii="仿宋" w:hAnsi="仿宋" w:eastAsia="仿宋" w:cs="Arial"/>
          <w:b/>
          <w:bCs/>
          <w:sz w:val="44"/>
          <w:szCs w:val="44"/>
        </w:rPr>
      </w:pPr>
    </w:p>
    <w:p>
      <w:pPr>
        <w:spacing w:line="360" w:lineRule="auto"/>
        <w:ind w:firstLine="640" w:firstLineChars="200"/>
        <w:rPr>
          <w:rFonts w:hint="eastAsia"/>
        </w:rPr>
      </w:pPr>
      <w:r>
        <w:rPr>
          <w:rFonts w:hint="eastAsia" w:ascii="仿宋" w:hAnsi="仿宋" w:eastAsia="仿宋" w:cs="仿宋"/>
          <w:color w:val="000000"/>
          <w:sz w:val="32"/>
          <w:szCs w:val="32"/>
          <w:lang w:val="en-US" w:eastAsia="zh-CN"/>
        </w:rPr>
        <w:t>为深入贯彻落实</w:t>
      </w:r>
      <w:r>
        <w:rPr>
          <w:rFonts w:hint="eastAsia" w:ascii="仿宋" w:hAnsi="仿宋" w:eastAsia="仿宋" w:cs="仿宋"/>
          <w:color w:val="000000"/>
          <w:sz w:val="32"/>
          <w:szCs w:val="32"/>
        </w:rPr>
        <w:t>《中共西湖区委西湖区人民政府关于全面实施预算绩效管理的实施意见》（西发[2019]11号）及《南昌市财政局关于开展2021年度预算绩效管理有关工作的通知》（洪财办[2021]7号）精神</w:t>
      </w:r>
      <w:r>
        <w:rPr>
          <w:rFonts w:hint="eastAsia" w:ascii="仿宋" w:hAnsi="仿宋" w:eastAsia="仿宋" w:cs="仿宋"/>
          <w:color w:val="000000"/>
          <w:sz w:val="32"/>
          <w:szCs w:val="32"/>
          <w:lang w:val="en-US" w:eastAsia="zh-CN"/>
        </w:rPr>
        <w:t>，增强我办预算编制的科学性、合理性、规范性，全面提高财政资源配置效率和使用效益，加快建立全方位、全过程、全覆盖、全公开的预算绩效管理机制，现决定开展2020年度文管所业务经费、旅游工作经费、图书购置、图书馆免费开放、文化发展资金、文化馆免费开放、非物资文化遗产专项资金项目支出绩效自评工作，现报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643" w:firstLineChars="200"/>
        <w:jc w:val="both"/>
        <w:rPr>
          <w:rFonts w:hint="eastAsia" w:ascii="仿宋" w:hAnsi="仿宋" w:eastAsia="仿宋" w:cs="Times New Roman"/>
          <w:b/>
          <w:bCs/>
          <w:kern w:val="2"/>
          <w:sz w:val="32"/>
          <w:szCs w:val="32"/>
          <w:highlight w:val="none"/>
          <w:lang w:val="en-US" w:eastAsia="zh-CN" w:bidi="ar-SA"/>
        </w:rPr>
      </w:pPr>
      <w:r>
        <w:rPr>
          <w:rFonts w:hint="eastAsia" w:ascii="仿宋" w:hAnsi="仿宋" w:eastAsia="仿宋" w:cs="Times New Roman"/>
          <w:b/>
          <w:bCs/>
          <w:kern w:val="2"/>
          <w:sz w:val="32"/>
          <w:szCs w:val="32"/>
          <w:highlight w:val="none"/>
          <w:lang w:val="en-US" w:eastAsia="zh-CN" w:bidi="ar-SA"/>
        </w:rPr>
        <w:t>一、本部门项目绩效目标管理情况</w:t>
      </w:r>
    </w:p>
    <w:p>
      <w:pPr>
        <w:numPr>
          <w:ilvl w:val="0"/>
          <w:numId w:val="0"/>
        </w:numPr>
        <w:spacing w:line="360" w:lineRule="auto"/>
        <w:ind w:firstLine="640" w:firstLineChars="200"/>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2020年，根据《南昌市财政局关于开展2021年度预算绩效管理有关工作的通知》( 洪财办[2021] 7号)按照通知要求预算部门实行项目支出绩效目标管理。绩效目标编报按照“谁申请资金，谁编制目标”的原则进行，同时，我部门将进一步加强预算绩效目标管理，不断提高预算管理的科学化和精细化水平。一是积极推进预算部门按要求编报项目预算时同步编报绩效目标，实现部门预算中重点项目绩效目标编报全覆盖。二是加强对绩效目标编制质量的审核，将绩效目标作为项目评审和预算安排的重要依据。三是推进预算部门实施绩效目标公开，做好绩效信息公开，主动接受社会监督。</w:t>
      </w:r>
    </w:p>
    <w:p>
      <w:pPr>
        <w:spacing w:line="360" w:lineRule="auto"/>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二、单位自评工作组织开展情况</w:t>
      </w:r>
    </w:p>
    <w:p>
      <w:pPr>
        <w:pStyle w:val="9"/>
        <w:spacing w:line="360" w:lineRule="auto"/>
        <w:ind w:left="0" w:leftChars="0" w:firstLine="640" w:firstLineChars="200"/>
        <w:rPr>
          <w:rFonts w:hint="eastAsia" w:ascii="仿宋_GB2312" w:hAnsi="宋体" w:eastAsia="仿宋_GB2312" w:cs="仿宋_GB2312"/>
          <w:color w:val="000000"/>
          <w:sz w:val="32"/>
          <w:szCs w:val="32"/>
          <w:lang w:eastAsia="zh-CN"/>
        </w:rPr>
      </w:pPr>
      <w:r>
        <w:rPr>
          <w:rFonts w:hint="eastAsia" w:ascii="仿宋" w:hAnsi="仿宋" w:eastAsia="仿宋" w:cs="Times New Roman"/>
          <w:kern w:val="2"/>
          <w:sz w:val="32"/>
          <w:szCs w:val="32"/>
          <w:lang w:val="en-US" w:eastAsia="zh-CN" w:bidi="ar-SA"/>
        </w:rPr>
        <w:t>一是加强组织领导。按照市财政局安排部署，我单位召开了相关人员会议，安排部署预算绩效评价工作，明确了绩效人员负责此项工作；二是制定实施方案。为推进绩效管理工作健康有序开展，</w:t>
      </w:r>
      <w:r>
        <w:rPr>
          <w:rFonts w:hint="eastAsia" w:ascii="仿宋" w:hAnsi="仿宋" w:eastAsia="仿宋" w:cs="仿宋"/>
          <w:kern w:val="2"/>
          <w:sz w:val="32"/>
          <w:szCs w:val="32"/>
          <w:lang w:val="en-US" w:eastAsia="zh-CN" w:bidi="ar-SA"/>
        </w:rPr>
        <w:t>根据上级有关规定和要求，对评价的单位、项目、时间及责任人等明确了主体责任，规范了工作内容，确保绩效评价工作有章可循，有序开展。三是稳步推进工作。按照《南昌市财政局关于开展2021年度预算绩效管理有关工作的通知》( 洪财办[2021] 7号),开展此次自评工作，部门本级及所属单位共选取7个预算项目，西湖区文化广电新闻出版旅游局2个项目、西湖区图书馆2个项目、西湖区文化馆3个项目，该部门本级及所属单位项目金额总计</w:t>
      </w:r>
      <w:r>
        <w:rPr>
          <w:rFonts w:hint="eastAsia" w:ascii="仿宋" w:hAnsi="仿宋" w:eastAsia="仿宋" w:cs="仿宋"/>
          <w:kern w:val="2"/>
          <w:sz w:val="32"/>
          <w:szCs w:val="32"/>
          <w:highlight w:val="none"/>
          <w:lang w:val="en-US" w:eastAsia="zh-CN" w:bidi="ar-SA"/>
        </w:rPr>
        <w:t>152.5万元。其中：</w:t>
      </w:r>
      <w:r>
        <w:rPr>
          <w:rFonts w:hint="eastAsia" w:ascii="仿宋" w:hAnsi="仿宋" w:eastAsia="仿宋" w:cs="仿宋"/>
          <w:color w:val="000000"/>
          <w:sz w:val="32"/>
          <w:szCs w:val="32"/>
          <w:highlight w:val="none"/>
          <w:lang w:val="en-US" w:eastAsia="zh-CN"/>
        </w:rPr>
        <w:t>文管所业务经费9万元、旅游工作经费34万元、图书购置20万元、图书馆免费开放8.5万元、</w:t>
      </w:r>
      <w:r>
        <w:rPr>
          <w:rFonts w:hint="eastAsia" w:ascii="仿宋" w:hAnsi="仿宋" w:eastAsia="仿宋" w:cs="仿宋"/>
          <w:color w:val="000000"/>
          <w:sz w:val="32"/>
          <w:szCs w:val="32"/>
          <w:lang w:val="en-US" w:eastAsia="zh-CN"/>
        </w:rPr>
        <w:t>文化发展资金70万元 、文化馆免费开放8.5万元、非物质文化遗产2.5万元</w:t>
      </w:r>
      <w:r>
        <w:rPr>
          <w:rFonts w:hint="eastAsia" w:ascii="仿宋" w:hAnsi="仿宋" w:eastAsia="仿宋" w:cs="仿宋"/>
          <w:kern w:val="2"/>
          <w:sz w:val="32"/>
          <w:szCs w:val="32"/>
          <w:lang w:val="en-US" w:eastAsia="zh-CN" w:bidi="ar-SA"/>
        </w:rPr>
        <w:t>。</w:t>
      </w:r>
    </w:p>
    <w:p>
      <w:pPr>
        <w:pStyle w:val="9"/>
        <w:spacing w:line="360" w:lineRule="auto"/>
        <w:ind w:left="0" w:leftChars="0" w:firstLine="643" w:firstLineChars="200"/>
        <w:rPr>
          <w:rFonts w:hint="default"/>
          <w:b/>
          <w:bCs/>
          <w:lang w:val="en-US" w:eastAsia="zh-CN"/>
        </w:rPr>
      </w:pPr>
      <w:r>
        <w:rPr>
          <w:rFonts w:hint="eastAsia" w:ascii="仿宋" w:hAnsi="仿宋" w:eastAsia="仿宋" w:cs="Times New Roman"/>
          <w:b/>
          <w:bCs/>
          <w:kern w:val="2"/>
          <w:sz w:val="32"/>
          <w:szCs w:val="32"/>
          <w:lang w:val="en-US" w:eastAsia="zh-CN" w:bidi="ar-SA"/>
        </w:rPr>
        <w:t>（一）绩效评价目的</w:t>
      </w:r>
    </w:p>
    <w:p>
      <w:pPr>
        <w:numPr>
          <w:ilvl w:val="0"/>
          <w:numId w:val="0"/>
        </w:numPr>
        <w:spacing w:line="360" w:lineRule="auto"/>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仿宋"/>
          <w:kern w:val="2"/>
          <w:sz w:val="32"/>
          <w:szCs w:val="32"/>
          <w:lang w:val="en-US" w:eastAsia="zh-CN" w:bidi="ar-SA"/>
        </w:rPr>
        <w:t>通过对我单位2020年</w:t>
      </w:r>
      <w:r>
        <w:rPr>
          <w:rFonts w:hint="eastAsia" w:ascii="仿宋" w:hAnsi="仿宋" w:eastAsia="仿宋" w:cs="仿宋"/>
          <w:color w:val="000000"/>
          <w:sz w:val="32"/>
          <w:szCs w:val="32"/>
          <w:lang w:val="en-US" w:eastAsia="zh-CN"/>
        </w:rPr>
        <w:t>文管所业务经费、旅游工作经费、图书购置、图书馆免费开放、文化发展资金、文化馆免费开放、非物资文化遗产专项资金</w:t>
      </w:r>
      <w:r>
        <w:rPr>
          <w:rFonts w:hint="eastAsia" w:ascii="仿宋" w:hAnsi="仿宋" w:eastAsia="仿宋" w:cs="仿宋"/>
          <w:color w:val="000000"/>
          <w:sz w:val="32"/>
          <w:szCs w:val="32"/>
          <w:lang w:eastAsia="zh-CN"/>
        </w:rPr>
        <w:t>项目资金</w:t>
      </w:r>
      <w:r>
        <w:rPr>
          <w:rFonts w:hint="eastAsia" w:ascii="仿宋" w:hAnsi="仿宋" w:eastAsia="仿宋" w:cs="仿宋"/>
          <w:kern w:val="2"/>
          <w:sz w:val="32"/>
          <w:szCs w:val="32"/>
          <w:lang w:val="en-US" w:eastAsia="zh-CN" w:bidi="ar-SA"/>
        </w:rPr>
        <w:t>使用情况进行绩效评价，强化支出责任，建立科学、合理的财政专项资金绩效评价管理体系，提高资金使用效益，为今后我单位绩效工作安排和分配提供重要依据</w:t>
      </w:r>
      <w:r>
        <w:rPr>
          <w:rFonts w:hint="eastAsia" w:ascii="仿宋" w:hAnsi="仿宋" w:eastAsia="仿宋" w:cs="Times New Roman"/>
          <w:kern w:val="2"/>
          <w:sz w:val="32"/>
          <w:szCs w:val="32"/>
          <w:lang w:val="en-US" w:eastAsia="zh-CN" w:bidi="ar-SA"/>
        </w:rPr>
        <w:t>。</w:t>
      </w:r>
    </w:p>
    <w:p>
      <w:pPr>
        <w:numPr>
          <w:ilvl w:val="0"/>
          <w:numId w:val="0"/>
        </w:numPr>
        <w:spacing w:line="360" w:lineRule="auto"/>
        <w:ind w:firstLine="643" w:firstLineChars="200"/>
        <w:rPr>
          <w:rFonts w:hint="eastAsia" w:ascii="仿宋" w:hAnsi="仿宋" w:eastAsia="仿宋" w:cs="Times New Roman"/>
          <w:b/>
          <w:bCs/>
          <w:kern w:val="2"/>
          <w:sz w:val="32"/>
          <w:szCs w:val="32"/>
          <w:lang w:val="en-US" w:eastAsia="zh-CN" w:bidi="ar-SA"/>
        </w:rPr>
      </w:pPr>
      <w:r>
        <w:rPr>
          <w:rFonts w:hint="eastAsia" w:ascii="仿宋" w:hAnsi="仿宋" w:eastAsia="仿宋" w:cs="Times New Roman"/>
          <w:b/>
          <w:bCs/>
          <w:kern w:val="2"/>
          <w:sz w:val="32"/>
          <w:szCs w:val="32"/>
          <w:lang w:val="en-US" w:eastAsia="zh-CN" w:bidi="ar-SA"/>
        </w:rPr>
        <w:t>（二）绩效评价对象和范围</w:t>
      </w:r>
    </w:p>
    <w:p>
      <w:pPr>
        <w:numPr>
          <w:ilvl w:val="0"/>
          <w:numId w:val="0"/>
        </w:numPr>
        <w:spacing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本次项目绩效评价对象及范围为2020年</w:t>
      </w:r>
      <w:r>
        <w:rPr>
          <w:rFonts w:hint="eastAsia" w:ascii="仿宋" w:hAnsi="仿宋" w:eastAsia="仿宋" w:cs="仿宋"/>
          <w:color w:val="000000"/>
          <w:sz w:val="32"/>
          <w:szCs w:val="32"/>
          <w:highlight w:val="none"/>
          <w:lang w:val="en-US" w:eastAsia="zh-CN"/>
        </w:rPr>
        <w:t>文管所业务经费9万元、旅游工作经费34万元、图书购置20万元、图书馆免费开放8.5万元、</w:t>
      </w:r>
      <w:r>
        <w:rPr>
          <w:rFonts w:hint="eastAsia" w:ascii="仿宋" w:hAnsi="仿宋" w:eastAsia="仿宋" w:cs="仿宋"/>
          <w:color w:val="000000"/>
          <w:sz w:val="32"/>
          <w:szCs w:val="32"/>
          <w:lang w:val="en-US" w:eastAsia="zh-CN"/>
        </w:rPr>
        <w:t>文化发展资金70万元 、文化馆免费开放8.5万元、非物质文化遗产2.5万元</w:t>
      </w:r>
      <w:r>
        <w:rPr>
          <w:rFonts w:hint="eastAsia" w:ascii="仿宋" w:hAnsi="仿宋" w:eastAsia="仿宋" w:cs="仿宋"/>
          <w:kern w:val="2"/>
          <w:sz w:val="32"/>
          <w:szCs w:val="32"/>
          <w:lang w:val="en-US" w:eastAsia="zh-CN" w:bidi="ar-SA"/>
        </w:rPr>
        <w:t>的资金使用情况。针对这次评价，从而深化部门预算改革和加强预算绩效管理的实际需要出发，通过科学合理的方法，客观公正地评价财政资金使用的规范性、经济性、效率性和效益性，是强化部门预算支出责任、改善财政支出管理、优化资源配置以及提高公共服务水平的重要手段。</w:t>
      </w:r>
    </w:p>
    <w:p>
      <w:pPr>
        <w:spacing w:line="360" w:lineRule="auto"/>
        <w:ind w:firstLine="640" w:firstLineChars="200"/>
        <w:rPr>
          <w:rFonts w:hint="eastAsia" w:ascii="黑体" w:hAnsi="黑体" w:eastAsia="黑体"/>
          <w:sz w:val="32"/>
          <w:szCs w:val="32"/>
          <w:lang w:eastAsia="zh-CN"/>
        </w:rPr>
      </w:pPr>
      <w:r>
        <w:rPr>
          <w:rFonts w:hint="eastAsia" w:ascii="黑体" w:hAnsi="黑体" w:eastAsia="黑体"/>
          <w:sz w:val="32"/>
          <w:szCs w:val="32"/>
          <w:lang w:val="en-US" w:eastAsia="zh-CN"/>
        </w:rPr>
        <w:t>三、</w:t>
      </w:r>
      <w:r>
        <w:rPr>
          <w:rFonts w:hint="eastAsia" w:ascii="黑体" w:hAnsi="黑体" w:eastAsia="黑体"/>
          <w:sz w:val="32"/>
          <w:szCs w:val="32"/>
          <w:lang w:eastAsia="zh-CN"/>
        </w:rPr>
        <w:t>综合评价结论</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项目预期目标完成整体向好：积极策应开拓创新，实现产业发展提质增效;打造特色旅游品牌，红色旅游再添异彩;文明旅游走入社区;旅游服务功能不断完善。</w:t>
      </w:r>
    </w:p>
    <w:p>
      <w:pPr>
        <w:spacing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2020年，西湖区图书馆积极落实全面推进免费开放，扩大免费服务范畴。免费开放了图书借阅室、报纸期刊阅览室、少年儿童阅览室、综合阅览室、西湖书房、童书馆等公共空间设施场地，读者凭本人身份证可直接入馆阅览。读者免费办理借阅证，并免费年度验证。读者免费存包，免费进行报刊文献查询、电子阅览上网、电子文献传递等项目。西湖区图书馆微信公众号、移动图书馆已经开通，市民关注进入就可以查询和阅读想要借阅的书刊、资料。    </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西湖区文化馆从7月1日起，正式开设以少年儿童的为主要服务对象的暑期少儿免费艺术培训班。今年的培训课程内容丰富、形式灵活多样，少儿艺术培训班一共开设了6个课程，有跆拳道、葫芦丝、少儿舞蹈、硬笔书法、绘画、陶笛，吸引了辖区200多名小朋友报名参加，深受小朋友喜爱，围绕大型节假日主题，文化馆举办文化活动展演，参与活动人数达千人，表演形式有：歌舞、器乐独奏、诗朗诵、书画表演、军旅舞蹈、革命歌曲大联唱等。通过西湖区微信公众号、西湖区文化馆微信公众号、江西日报等媒体发布活动内容。</w:t>
      </w:r>
    </w:p>
    <w:p>
      <w:pPr>
        <w:spacing w:line="360" w:lineRule="auto"/>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四</w:t>
      </w:r>
      <w:r>
        <w:rPr>
          <w:rFonts w:hint="eastAsia" w:ascii="黑体" w:hAnsi="黑体" w:eastAsia="黑体"/>
          <w:sz w:val="32"/>
          <w:szCs w:val="32"/>
        </w:rPr>
        <w:t>、绩效目标完成情况</w:t>
      </w:r>
      <w:r>
        <w:rPr>
          <w:rFonts w:hint="eastAsia" w:ascii="黑体" w:hAnsi="黑体" w:eastAsia="黑体"/>
          <w:sz w:val="32"/>
          <w:szCs w:val="32"/>
          <w:lang w:eastAsia="zh-CN"/>
        </w:rPr>
        <w:t>总体分析</w:t>
      </w:r>
    </w:p>
    <w:p>
      <w:pPr>
        <w:spacing w:line="360" w:lineRule="auto"/>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（一）资金</w:t>
      </w:r>
      <w:r>
        <w:rPr>
          <w:rFonts w:hint="eastAsia" w:ascii="楷体_GB2312" w:hAnsi="黑体" w:eastAsia="楷体_GB2312"/>
          <w:b/>
          <w:sz w:val="32"/>
          <w:szCs w:val="32"/>
          <w:lang w:eastAsia="zh-CN"/>
        </w:rPr>
        <w:t>管理</w:t>
      </w:r>
      <w:r>
        <w:rPr>
          <w:rFonts w:hint="eastAsia" w:ascii="楷体_GB2312" w:hAnsi="黑体" w:eastAsia="楷体_GB2312"/>
          <w:b/>
          <w:sz w:val="32"/>
          <w:szCs w:val="32"/>
        </w:rPr>
        <w:t>情况分析</w:t>
      </w:r>
    </w:p>
    <w:p>
      <w:pPr>
        <w:numPr>
          <w:ilvl w:val="0"/>
          <w:numId w:val="0"/>
        </w:numPr>
        <w:spacing w:line="360" w:lineRule="auto"/>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我局严格执行财务管理制度。同时积极争取财政资金的足额预算和及时下达;做好项目方案的起草制定和修改，对项目的政策依据进行严格把关;督促项目按进度实施;做到会计核算的规范性，做好项目的调整，做到专款专用，做好项目结余和结转;确保资金的支付依据符合规定;健全财务制度并认真执行;做到资金使用的及时性并按照方案完成项目。</w:t>
      </w:r>
    </w:p>
    <w:p>
      <w:pPr>
        <w:spacing w:line="360" w:lineRule="auto"/>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（二）总体绩效目标完成情况分析。</w:t>
      </w:r>
    </w:p>
    <w:p>
      <w:pPr>
        <w:numPr>
          <w:ilvl w:val="0"/>
          <w:numId w:val="0"/>
        </w:numPr>
        <w:spacing w:line="360" w:lineRule="auto"/>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1、加强旅游巡查工作，组织社区开展了日常旅游巡查工作，营造文明旅游新常态，促进文明旅游进社区，不断凝聚明旅游全民共识，推动文明理念深入人心。</w:t>
      </w:r>
    </w:p>
    <w:p>
      <w:pPr>
        <w:numPr>
          <w:ilvl w:val="0"/>
          <w:numId w:val="0"/>
        </w:numPr>
        <w:spacing w:line="360" w:lineRule="auto"/>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2、创新多种营销手段。为降低营销成本，鼓励旅游企业开展网络营销通过微博互动营销、旅游专网营销、淘宝团购营销等方式，不断拓展散客旅游市场。</w:t>
      </w:r>
    </w:p>
    <w:p>
      <w:pPr>
        <w:numPr>
          <w:ilvl w:val="0"/>
          <w:numId w:val="0"/>
        </w:numPr>
        <w:spacing w:line="360" w:lineRule="auto"/>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3、打造丰富多彩节庆活动。在积极开展群众性文化活动的同时，注重“品牌”意识。以“非遗+文创”创新文化活动品牌，打造了“戏曲进校园 非遗共传承”品牌特色活动，组织了省市各类手工类非遗项目进社区参展表演。</w:t>
      </w:r>
    </w:p>
    <w:p>
      <w:pPr>
        <w:numPr>
          <w:ilvl w:val="0"/>
          <w:numId w:val="0"/>
        </w:numPr>
        <w:spacing w:line="360" w:lineRule="auto"/>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4、创新旅游宣传推介，激发创新创业活力。一是创节办会，激发人气；为消除疫情影响，支持企业发展，我区在南昌玛雅乐园举行了“乘风破浪大美西湖”为主题的“2020南昌西湖玛雅戏水节”戏水节期间，带动西湖万达、天虹商场、苏宁易购、喜盈门、锦峰酒店等企业联合营销；二是宣传推介，树立品牌。今年以来，共组织8家企业和6项文创作品参加各类推介、评比，取得良好成效。八一馆二个系列文创作品获全国特色旅游商品博览会大赛入围奖。文创产品参加“2020江西文化发展巡礼展”和“2020江西省文化旅游创意产品大赛”，荣获创意产品铜奖和创意设计优秀奖。</w:t>
      </w:r>
    </w:p>
    <w:p>
      <w:pPr>
        <w:numPr>
          <w:ilvl w:val="0"/>
          <w:numId w:val="0"/>
        </w:numPr>
        <w:spacing w:line="360" w:lineRule="auto"/>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5、更新和改善图书馆馆内硬件，做好场馆公益服务；举办读者服务活动，参与阅读下基层，积极落实全面推进免费开放，扩大免费服务范畴。</w:t>
      </w:r>
    </w:p>
    <w:p>
      <w:pPr>
        <w:numPr>
          <w:ilvl w:val="0"/>
          <w:numId w:val="0"/>
        </w:numPr>
        <w:spacing w:line="360" w:lineRule="auto"/>
        <w:ind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6、文化馆建立公共文化课程总分馆配送机制，搭建艺术爱好桥梁，创建阳光积极的留守儿童成长环境；搭建与街道分馆的互动平台，打造社区文化活动示范点；扎根基层文化服务。</w:t>
      </w:r>
    </w:p>
    <w:p>
      <w:pPr>
        <w:spacing w:line="360" w:lineRule="auto"/>
        <w:ind w:firstLine="640" w:firstLineChars="200"/>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、偏离绩效目标的原因和下一步改进措施</w:t>
      </w:r>
    </w:p>
    <w:p>
      <w:pPr>
        <w:numPr>
          <w:ilvl w:val="0"/>
          <w:numId w:val="1"/>
        </w:numPr>
        <w:spacing w:line="600" w:lineRule="exact"/>
        <w:ind w:leftChars="0"/>
        <w:rPr>
          <w:rFonts w:hint="eastAsia" w:ascii="仿宋" w:hAnsi="仿宋" w:eastAsia="仿宋" w:cs="Times New Roman"/>
          <w:kern w:val="2"/>
          <w:sz w:val="32"/>
          <w:szCs w:val="32"/>
          <w:lang w:val="en-US" w:eastAsia="zh-CN" w:bidi="ar-SA"/>
        </w:rPr>
      </w:pPr>
      <w:r>
        <w:rPr>
          <w:rFonts w:hint="eastAsia" w:ascii="仿宋" w:hAnsi="仿宋" w:eastAsia="仿宋" w:cs="仿宋"/>
          <w:sz w:val="32"/>
          <w:szCs w:val="32"/>
          <w:lang w:val="en-US" w:eastAsia="zh-CN"/>
        </w:rPr>
        <w:t>通过项目的实施，本单位项目绩效指标总体较好，个别绩效指标与年初设定的目标出现偏离，</w:t>
      </w:r>
      <w:r>
        <w:rPr>
          <w:rFonts w:hint="eastAsia" w:ascii="仿宋" w:hAnsi="仿宋" w:eastAsia="仿宋" w:cs="Times New Roman"/>
          <w:kern w:val="2"/>
          <w:sz w:val="32"/>
          <w:szCs w:val="32"/>
          <w:lang w:val="en-US" w:eastAsia="zh-CN" w:bidi="ar-SA"/>
        </w:rPr>
        <w:t>主要原因：对旅游景区、旅游文化活动等旅游事项的宣传推介力度不够;文旅活动的群众受益面未达到要求；由于人员及设备的配备不足，图书流通率低，造成了藏</w:t>
      </w:r>
      <w:r>
        <w:rPr>
          <w:rFonts w:hint="eastAsia" w:ascii="仿宋" w:hAnsi="仿宋" w:eastAsia="仿宋" w:cs="仿宋"/>
          <w:sz w:val="32"/>
          <w:szCs w:val="32"/>
          <w:lang w:val="en-US" w:eastAsia="zh-CN"/>
        </w:rPr>
        <w:t>书资源浪费；社会力量渗入公共文化服务比例小，场馆使用率的不足。下一步改进：加大对旅游景区活动的宣传、推广、策划。走群众路线，以群众需求为主，打造群众满意的文旅活动场所。</w:t>
      </w:r>
    </w:p>
    <w:p>
      <w:pPr>
        <w:spacing w:line="360" w:lineRule="auto"/>
        <w:ind w:firstLine="643" w:firstLineChars="200"/>
        <w:rPr>
          <w:rFonts w:hint="eastAsia" w:ascii="黑体" w:hAnsi="黑体" w:eastAsia="黑体"/>
          <w:b/>
          <w:bCs/>
          <w:sz w:val="32"/>
          <w:szCs w:val="32"/>
        </w:rPr>
      </w:pPr>
      <w:r>
        <w:rPr>
          <w:rFonts w:hint="eastAsia" w:ascii="黑体" w:hAnsi="黑体" w:eastAsia="黑体"/>
          <w:b/>
          <w:bCs/>
          <w:sz w:val="32"/>
          <w:szCs w:val="32"/>
          <w:lang w:eastAsia="zh-CN"/>
        </w:rPr>
        <w:t>六</w:t>
      </w:r>
      <w:r>
        <w:rPr>
          <w:rFonts w:hint="eastAsia" w:ascii="黑体" w:hAnsi="黑体" w:eastAsia="黑体"/>
          <w:b/>
          <w:bCs/>
          <w:sz w:val="32"/>
          <w:szCs w:val="32"/>
        </w:rPr>
        <w:t>、绩效自评结果拟应用和公开情况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通过资金绩效自评，放大坐标找不足，提高标准找差距，进一步提高了资金使用率，达到了既定的绩效目标。自评价平均总得分为</w:t>
      </w:r>
      <w:r>
        <w:rPr>
          <w:rFonts w:hint="eastAsia" w:ascii="仿宋" w:hAnsi="仿宋" w:eastAsia="仿宋" w:cs="Times New Roman"/>
          <w:kern w:val="2"/>
          <w:sz w:val="32"/>
          <w:szCs w:val="32"/>
          <w:highlight w:val="none"/>
          <w:lang w:val="en-US" w:eastAsia="zh-CN" w:bidi="ar-SA"/>
        </w:rPr>
        <w:t>95.43分</w:t>
      </w:r>
      <w:r>
        <w:rPr>
          <w:rFonts w:hint="eastAsia" w:ascii="仿宋" w:hAnsi="仿宋" w:eastAsia="仿宋" w:cs="Times New Roman"/>
          <w:kern w:val="2"/>
          <w:sz w:val="32"/>
          <w:szCs w:val="32"/>
          <w:lang w:val="en-US" w:eastAsia="zh-CN" w:bidi="ar-SA"/>
        </w:rPr>
        <w:t>，评价结论为“优”。</w:t>
      </w:r>
    </w:p>
    <w:p>
      <w:pPr>
        <w:pStyle w:val="9"/>
        <w:spacing w:line="360" w:lineRule="auto"/>
        <w:ind w:left="0" w:leftChars="0" w:firstLine="640" w:firstLineChars="20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根据相关规定，为保障资金合理使用，推进工作的有效进展，将资金运用情况在门户网站向社会公开。</w:t>
      </w: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B9CA04"/>
    <w:multiLevelType w:val="singleLevel"/>
    <w:tmpl w:val="D7B9CA0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A7ECB"/>
    <w:rsid w:val="006B347B"/>
    <w:rsid w:val="0146458C"/>
    <w:rsid w:val="017D0804"/>
    <w:rsid w:val="035C59D4"/>
    <w:rsid w:val="03AA19EE"/>
    <w:rsid w:val="03F24361"/>
    <w:rsid w:val="04006144"/>
    <w:rsid w:val="04C97837"/>
    <w:rsid w:val="051D6910"/>
    <w:rsid w:val="052F3E9D"/>
    <w:rsid w:val="05F63C6A"/>
    <w:rsid w:val="069466F1"/>
    <w:rsid w:val="06985285"/>
    <w:rsid w:val="070E6FF1"/>
    <w:rsid w:val="079D6138"/>
    <w:rsid w:val="07FE00E5"/>
    <w:rsid w:val="08283329"/>
    <w:rsid w:val="084277C3"/>
    <w:rsid w:val="08706A2C"/>
    <w:rsid w:val="087D0DDB"/>
    <w:rsid w:val="090B3479"/>
    <w:rsid w:val="092000FB"/>
    <w:rsid w:val="092C2B65"/>
    <w:rsid w:val="09743F56"/>
    <w:rsid w:val="09C12398"/>
    <w:rsid w:val="09E14201"/>
    <w:rsid w:val="0A674B6E"/>
    <w:rsid w:val="0A7628EA"/>
    <w:rsid w:val="0A892E36"/>
    <w:rsid w:val="0AF547FA"/>
    <w:rsid w:val="0B50625A"/>
    <w:rsid w:val="0B7A202E"/>
    <w:rsid w:val="0BCB04CD"/>
    <w:rsid w:val="0BDE176A"/>
    <w:rsid w:val="0C876E62"/>
    <w:rsid w:val="0C8C402C"/>
    <w:rsid w:val="0CD65937"/>
    <w:rsid w:val="0D0A7571"/>
    <w:rsid w:val="0DC8227F"/>
    <w:rsid w:val="0DF7495C"/>
    <w:rsid w:val="0E2D3E5D"/>
    <w:rsid w:val="0F175B49"/>
    <w:rsid w:val="0FB23AF5"/>
    <w:rsid w:val="0FED158C"/>
    <w:rsid w:val="103575B4"/>
    <w:rsid w:val="10C86E25"/>
    <w:rsid w:val="112F7763"/>
    <w:rsid w:val="11360EB5"/>
    <w:rsid w:val="11673E60"/>
    <w:rsid w:val="11D71614"/>
    <w:rsid w:val="11E37EDF"/>
    <w:rsid w:val="11FB36DB"/>
    <w:rsid w:val="123110C6"/>
    <w:rsid w:val="127E5039"/>
    <w:rsid w:val="130B7509"/>
    <w:rsid w:val="130C3227"/>
    <w:rsid w:val="13165518"/>
    <w:rsid w:val="1316777D"/>
    <w:rsid w:val="135228A4"/>
    <w:rsid w:val="135B4B79"/>
    <w:rsid w:val="13BB0B5B"/>
    <w:rsid w:val="13E46D51"/>
    <w:rsid w:val="14112663"/>
    <w:rsid w:val="14145EEF"/>
    <w:rsid w:val="145B35AE"/>
    <w:rsid w:val="152D1A21"/>
    <w:rsid w:val="15645EED"/>
    <w:rsid w:val="160D0335"/>
    <w:rsid w:val="161657C4"/>
    <w:rsid w:val="17D13093"/>
    <w:rsid w:val="18162A49"/>
    <w:rsid w:val="1837662D"/>
    <w:rsid w:val="188D28B1"/>
    <w:rsid w:val="18973742"/>
    <w:rsid w:val="189A5039"/>
    <w:rsid w:val="19151A3D"/>
    <w:rsid w:val="192F6E70"/>
    <w:rsid w:val="19A8343B"/>
    <w:rsid w:val="19B702E6"/>
    <w:rsid w:val="19BF677F"/>
    <w:rsid w:val="19E31D1E"/>
    <w:rsid w:val="19F73D85"/>
    <w:rsid w:val="1A25151D"/>
    <w:rsid w:val="1A3A1B3A"/>
    <w:rsid w:val="1CBC5555"/>
    <w:rsid w:val="1D154E30"/>
    <w:rsid w:val="1E1E0899"/>
    <w:rsid w:val="1E210E3C"/>
    <w:rsid w:val="1ED14FC8"/>
    <w:rsid w:val="1F0857CB"/>
    <w:rsid w:val="1F8F338A"/>
    <w:rsid w:val="1FA02DF2"/>
    <w:rsid w:val="1FCC0371"/>
    <w:rsid w:val="1FE80F52"/>
    <w:rsid w:val="1FF16CD9"/>
    <w:rsid w:val="208A313B"/>
    <w:rsid w:val="20CE10D1"/>
    <w:rsid w:val="20EA7B89"/>
    <w:rsid w:val="216D7F80"/>
    <w:rsid w:val="21942FB0"/>
    <w:rsid w:val="219E0CE5"/>
    <w:rsid w:val="222664AC"/>
    <w:rsid w:val="22621F3A"/>
    <w:rsid w:val="22AB0182"/>
    <w:rsid w:val="22C65706"/>
    <w:rsid w:val="22F26626"/>
    <w:rsid w:val="231E09EA"/>
    <w:rsid w:val="23450327"/>
    <w:rsid w:val="23513559"/>
    <w:rsid w:val="235B0696"/>
    <w:rsid w:val="24FE6C41"/>
    <w:rsid w:val="25393849"/>
    <w:rsid w:val="255047EB"/>
    <w:rsid w:val="25C0592E"/>
    <w:rsid w:val="267E7425"/>
    <w:rsid w:val="26E3556D"/>
    <w:rsid w:val="26F171AF"/>
    <w:rsid w:val="279B3228"/>
    <w:rsid w:val="27B92F54"/>
    <w:rsid w:val="27DD34A3"/>
    <w:rsid w:val="28316805"/>
    <w:rsid w:val="284039C0"/>
    <w:rsid w:val="28574DF2"/>
    <w:rsid w:val="288264A8"/>
    <w:rsid w:val="290176ED"/>
    <w:rsid w:val="29282FFD"/>
    <w:rsid w:val="29A15A2F"/>
    <w:rsid w:val="29A51920"/>
    <w:rsid w:val="29AE472D"/>
    <w:rsid w:val="29B830F7"/>
    <w:rsid w:val="2AD92791"/>
    <w:rsid w:val="2B2A167C"/>
    <w:rsid w:val="2B425357"/>
    <w:rsid w:val="2B693876"/>
    <w:rsid w:val="2C67086B"/>
    <w:rsid w:val="2DC76EE9"/>
    <w:rsid w:val="2DF96915"/>
    <w:rsid w:val="2E8D4D53"/>
    <w:rsid w:val="2EB7651E"/>
    <w:rsid w:val="30280BA5"/>
    <w:rsid w:val="302F40B4"/>
    <w:rsid w:val="306A3D83"/>
    <w:rsid w:val="3083264C"/>
    <w:rsid w:val="30E46F6F"/>
    <w:rsid w:val="31974059"/>
    <w:rsid w:val="31C767F2"/>
    <w:rsid w:val="31F10D5D"/>
    <w:rsid w:val="32013C72"/>
    <w:rsid w:val="32297B51"/>
    <w:rsid w:val="324F79C7"/>
    <w:rsid w:val="339568B4"/>
    <w:rsid w:val="354A17CA"/>
    <w:rsid w:val="36D25472"/>
    <w:rsid w:val="370A5FF5"/>
    <w:rsid w:val="371B2E26"/>
    <w:rsid w:val="371C3128"/>
    <w:rsid w:val="3727567F"/>
    <w:rsid w:val="375661EC"/>
    <w:rsid w:val="37A13D03"/>
    <w:rsid w:val="37DE116A"/>
    <w:rsid w:val="38BD6D76"/>
    <w:rsid w:val="39772EF8"/>
    <w:rsid w:val="39B253DE"/>
    <w:rsid w:val="39E66C1A"/>
    <w:rsid w:val="3A3F2DF1"/>
    <w:rsid w:val="3A753E22"/>
    <w:rsid w:val="3AA909E9"/>
    <w:rsid w:val="3ACA433C"/>
    <w:rsid w:val="3B57169C"/>
    <w:rsid w:val="3BD82939"/>
    <w:rsid w:val="3D5F3496"/>
    <w:rsid w:val="3D7D7018"/>
    <w:rsid w:val="3D8442F4"/>
    <w:rsid w:val="3D894C3D"/>
    <w:rsid w:val="3E09211C"/>
    <w:rsid w:val="3F05112E"/>
    <w:rsid w:val="3FA872C2"/>
    <w:rsid w:val="3FAA5208"/>
    <w:rsid w:val="3FC96F13"/>
    <w:rsid w:val="40327078"/>
    <w:rsid w:val="40D024AF"/>
    <w:rsid w:val="413D6BB1"/>
    <w:rsid w:val="41901854"/>
    <w:rsid w:val="41A525A4"/>
    <w:rsid w:val="43104375"/>
    <w:rsid w:val="435D4646"/>
    <w:rsid w:val="439D3388"/>
    <w:rsid w:val="43B56D7B"/>
    <w:rsid w:val="43D43600"/>
    <w:rsid w:val="43EF6B43"/>
    <w:rsid w:val="44743AD8"/>
    <w:rsid w:val="45861D0A"/>
    <w:rsid w:val="45E0024B"/>
    <w:rsid w:val="478B611D"/>
    <w:rsid w:val="48A36172"/>
    <w:rsid w:val="48A67F39"/>
    <w:rsid w:val="49152406"/>
    <w:rsid w:val="49857213"/>
    <w:rsid w:val="49A6734F"/>
    <w:rsid w:val="49C55AEB"/>
    <w:rsid w:val="4A603E43"/>
    <w:rsid w:val="4A972D00"/>
    <w:rsid w:val="4AF80ECC"/>
    <w:rsid w:val="4B73555B"/>
    <w:rsid w:val="4BE66FBD"/>
    <w:rsid w:val="4C1A47A4"/>
    <w:rsid w:val="4CA15B62"/>
    <w:rsid w:val="4CB943BE"/>
    <w:rsid w:val="4D455B80"/>
    <w:rsid w:val="4D8908C5"/>
    <w:rsid w:val="4DE36520"/>
    <w:rsid w:val="4E3D4730"/>
    <w:rsid w:val="4E5F02B4"/>
    <w:rsid w:val="4F0056C0"/>
    <w:rsid w:val="4F803611"/>
    <w:rsid w:val="4FCC162B"/>
    <w:rsid w:val="50A07AE9"/>
    <w:rsid w:val="517F496B"/>
    <w:rsid w:val="52145A0A"/>
    <w:rsid w:val="52212579"/>
    <w:rsid w:val="528F2B92"/>
    <w:rsid w:val="52A22DAC"/>
    <w:rsid w:val="52E16A77"/>
    <w:rsid w:val="53262550"/>
    <w:rsid w:val="535E498E"/>
    <w:rsid w:val="53AD0E49"/>
    <w:rsid w:val="53C34CE3"/>
    <w:rsid w:val="53D40B53"/>
    <w:rsid w:val="54240806"/>
    <w:rsid w:val="5498756B"/>
    <w:rsid w:val="54B6342B"/>
    <w:rsid w:val="5501290A"/>
    <w:rsid w:val="559652A4"/>
    <w:rsid w:val="561300F8"/>
    <w:rsid w:val="56492EDD"/>
    <w:rsid w:val="5674470D"/>
    <w:rsid w:val="571101CE"/>
    <w:rsid w:val="572D5960"/>
    <w:rsid w:val="572D7A48"/>
    <w:rsid w:val="573F44DF"/>
    <w:rsid w:val="5753762B"/>
    <w:rsid w:val="575405A2"/>
    <w:rsid w:val="57897112"/>
    <w:rsid w:val="57AF5A52"/>
    <w:rsid w:val="57D363F5"/>
    <w:rsid w:val="586E1CFC"/>
    <w:rsid w:val="587D23B6"/>
    <w:rsid w:val="588C3656"/>
    <w:rsid w:val="58EC79BB"/>
    <w:rsid w:val="592D3936"/>
    <w:rsid w:val="592E754B"/>
    <w:rsid w:val="595E40C5"/>
    <w:rsid w:val="59AB0FC4"/>
    <w:rsid w:val="5B1C1873"/>
    <w:rsid w:val="5B4A687A"/>
    <w:rsid w:val="5BF72E3F"/>
    <w:rsid w:val="5C5367E3"/>
    <w:rsid w:val="5C682EEE"/>
    <w:rsid w:val="5C6A1209"/>
    <w:rsid w:val="5C8F0074"/>
    <w:rsid w:val="5CAF416D"/>
    <w:rsid w:val="5D6957C7"/>
    <w:rsid w:val="5D8729F9"/>
    <w:rsid w:val="5DC456D9"/>
    <w:rsid w:val="5DFA0F01"/>
    <w:rsid w:val="5E2B65A3"/>
    <w:rsid w:val="5ED87A84"/>
    <w:rsid w:val="5F675CD9"/>
    <w:rsid w:val="5FAA2F30"/>
    <w:rsid w:val="5FF97A57"/>
    <w:rsid w:val="61735D0F"/>
    <w:rsid w:val="61EA3C13"/>
    <w:rsid w:val="621F6F51"/>
    <w:rsid w:val="62274033"/>
    <w:rsid w:val="62297A8F"/>
    <w:rsid w:val="626262C7"/>
    <w:rsid w:val="62680E60"/>
    <w:rsid w:val="62BE2DE7"/>
    <w:rsid w:val="62F73E73"/>
    <w:rsid w:val="6363527F"/>
    <w:rsid w:val="637A3B1B"/>
    <w:rsid w:val="641B45EA"/>
    <w:rsid w:val="644905F5"/>
    <w:rsid w:val="644B495C"/>
    <w:rsid w:val="64846BE1"/>
    <w:rsid w:val="64C7786A"/>
    <w:rsid w:val="65C93409"/>
    <w:rsid w:val="65E71E12"/>
    <w:rsid w:val="65E831B3"/>
    <w:rsid w:val="66312395"/>
    <w:rsid w:val="66DE0610"/>
    <w:rsid w:val="676C017A"/>
    <w:rsid w:val="676E16E5"/>
    <w:rsid w:val="67BA69EC"/>
    <w:rsid w:val="67C97FEB"/>
    <w:rsid w:val="68B62DFE"/>
    <w:rsid w:val="68DC153A"/>
    <w:rsid w:val="6A2A166C"/>
    <w:rsid w:val="6A41297C"/>
    <w:rsid w:val="6A413B77"/>
    <w:rsid w:val="6A671C6A"/>
    <w:rsid w:val="6B8D24D0"/>
    <w:rsid w:val="6C9B03AC"/>
    <w:rsid w:val="6CC31E2C"/>
    <w:rsid w:val="6CEC4243"/>
    <w:rsid w:val="6CEF0A32"/>
    <w:rsid w:val="6D1916AD"/>
    <w:rsid w:val="6EBF781D"/>
    <w:rsid w:val="6EDE4048"/>
    <w:rsid w:val="6EFC50B0"/>
    <w:rsid w:val="6F073E04"/>
    <w:rsid w:val="6F863DDD"/>
    <w:rsid w:val="6FA752C9"/>
    <w:rsid w:val="6FF4056E"/>
    <w:rsid w:val="703977BA"/>
    <w:rsid w:val="705601EC"/>
    <w:rsid w:val="7096371A"/>
    <w:rsid w:val="70E35859"/>
    <w:rsid w:val="713E0078"/>
    <w:rsid w:val="71850B2F"/>
    <w:rsid w:val="71AC1AE7"/>
    <w:rsid w:val="71AD1788"/>
    <w:rsid w:val="71C97C6F"/>
    <w:rsid w:val="72045876"/>
    <w:rsid w:val="72A91FCD"/>
    <w:rsid w:val="72FD1B34"/>
    <w:rsid w:val="73282621"/>
    <w:rsid w:val="73674485"/>
    <w:rsid w:val="74395BA1"/>
    <w:rsid w:val="74567314"/>
    <w:rsid w:val="745B1531"/>
    <w:rsid w:val="74732EBE"/>
    <w:rsid w:val="75212B99"/>
    <w:rsid w:val="753E7DFF"/>
    <w:rsid w:val="755B6C4A"/>
    <w:rsid w:val="75D12F78"/>
    <w:rsid w:val="75FD665A"/>
    <w:rsid w:val="763C6C52"/>
    <w:rsid w:val="767B2BAF"/>
    <w:rsid w:val="76B60203"/>
    <w:rsid w:val="76ED7887"/>
    <w:rsid w:val="77AC1062"/>
    <w:rsid w:val="782A4022"/>
    <w:rsid w:val="78536033"/>
    <w:rsid w:val="78A12157"/>
    <w:rsid w:val="7922387E"/>
    <w:rsid w:val="795D4872"/>
    <w:rsid w:val="79BA7792"/>
    <w:rsid w:val="7A4169E0"/>
    <w:rsid w:val="7ADB3888"/>
    <w:rsid w:val="7B095784"/>
    <w:rsid w:val="7B1A7ECB"/>
    <w:rsid w:val="7B557533"/>
    <w:rsid w:val="7BCD78C1"/>
    <w:rsid w:val="7BEC1B2D"/>
    <w:rsid w:val="7D4D6F1C"/>
    <w:rsid w:val="7DAA3058"/>
    <w:rsid w:val="7DB7599A"/>
    <w:rsid w:val="7E9C5F38"/>
    <w:rsid w:val="7F951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 Text First Indent 21"/>
    <w:qFormat/>
    <w:uiPriority w:val="0"/>
    <w:pPr>
      <w:framePr w:wrap="around" w:vAnchor="margin" w:hAnchor="text" w:y="1"/>
      <w:widowControl w:val="0"/>
      <w:ind w:left="420" w:firstLine="210"/>
      <w:jc w:val="both"/>
    </w:pPr>
    <w:rPr>
      <w:rFonts w:ascii="Calibri" w:hAnsi="Calibri" w:eastAsia="Times New Roman" w:cs="Calibri"/>
      <w:color w:val="000000"/>
      <w:kern w:val="2"/>
      <w:sz w:val="21"/>
      <w:szCs w:val="21"/>
      <w:lang w:val="en-US" w:eastAsia="zh-CN" w:bidi="ar-SA"/>
    </w:rPr>
  </w:style>
  <w:style w:type="paragraph" w:styleId="6">
    <w:name w:val="Body Text"/>
    <w:basedOn w:val="1"/>
    <w:qFormat/>
    <w:uiPriority w:val="1"/>
    <w:rPr>
      <w:rFonts w:ascii="仿宋_GB2312" w:hAnsi="仿宋_GB2312" w:eastAsia="仿宋_GB2312" w:cs="仿宋_GB2312"/>
      <w:sz w:val="32"/>
      <w:szCs w:val="32"/>
    </w:rPr>
  </w:style>
  <w:style w:type="paragraph" w:styleId="7">
    <w:name w:val="Plain Text"/>
    <w:basedOn w:val="1"/>
    <w:unhideWhenUsed/>
    <w:qFormat/>
    <w:uiPriority w:val="0"/>
    <w:rPr>
      <w:rFonts w:ascii="宋体" w:hAnsi="Courier New" w:cs="Courier New"/>
      <w:szCs w:val="21"/>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9">
    <w:name w:val="Body Text First Indent 2"/>
    <w:basedOn w:val="1"/>
    <w:qFormat/>
    <w:uiPriority w:val="99"/>
    <w:pPr>
      <w:widowControl w:val="0"/>
      <w:ind w:left="420" w:leftChars="200" w:firstLine="420" w:firstLineChars="200"/>
      <w:jc w:val="both"/>
    </w:pPr>
    <w:rPr>
      <w:rFonts w:ascii="Times New Roman" w:hAnsi="Times New Roman" w:eastAsia="仿宋_GB2312" w:cs="Times New Roman"/>
      <w:kern w:val="2"/>
      <w:sz w:val="30"/>
      <w:szCs w:val="30"/>
      <w:lang w:val="en-US" w:eastAsia="zh-CN" w:bidi="ar-SA"/>
    </w:rPr>
  </w:style>
  <w:style w:type="character" w:styleId="12">
    <w:name w:val="Strong"/>
    <w:basedOn w:val="11"/>
    <w:qFormat/>
    <w:uiPriority w:val="22"/>
    <w:rPr>
      <w:b/>
    </w:rPr>
  </w:style>
  <w:style w:type="paragraph" w:customStyle="1" w:styleId="13">
    <w:name w:val="Table Paragraph"/>
    <w:basedOn w:val="1"/>
    <w:qFormat/>
    <w:uiPriority w:val="1"/>
  </w:style>
  <w:style w:type="table" w:customStyle="1" w:styleId="14">
    <w:name w:val="Table Normal"/>
    <w:semiHidden/>
    <w:unhideWhenUsed/>
    <w:qFormat/>
    <w:uiPriority w:val="2"/>
    <w:tblPr>
      <w:tblCellMar>
        <w:top w:w="0" w:type="dxa"/>
        <w:left w:w="0" w:type="dxa"/>
        <w:bottom w:w="0" w:type="dxa"/>
        <w:right w:w="0" w:type="dxa"/>
      </w:tblCellMar>
    </w:tblPr>
  </w:style>
  <w:style w:type="paragraph" w:customStyle="1" w:styleId="15">
    <w:name w:val="Heading 1"/>
    <w:basedOn w:val="1"/>
    <w:qFormat/>
    <w:uiPriority w:val="1"/>
    <w:pPr>
      <w:jc w:val="center"/>
      <w:outlineLvl w:val="1"/>
    </w:pPr>
    <w:rPr>
      <w:sz w:val="44"/>
      <w:szCs w:val="44"/>
    </w:rPr>
  </w:style>
  <w:style w:type="paragraph" w:styleId="16">
    <w:name w:val="List Paragraph"/>
    <w:basedOn w:val="1"/>
    <w:qFormat/>
    <w:uiPriority w:val="34"/>
    <w:pPr>
      <w:ind w:firstLine="420" w:firstLineChars="200"/>
    </w:pPr>
  </w:style>
  <w:style w:type="character" w:customStyle="1" w:styleId="17">
    <w:name w:val="NormalCharacter"/>
    <w:qFormat/>
    <w:uiPriority w:val="0"/>
  </w:style>
  <w:style w:type="paragraph" w:customStyle="1" w:styleId="18">
    <w:name w:val="无间隔1"/>
    <w:qFormat/>
    <w:uiPriority w:val="1"/>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2021-03-19T05:59:00Z</dcterms:created>
  <dc:creator>Aallot</dc:creator>
  <cp:lastModifiedBy>小明</cp:lastModifiedBy>
  <dcterms:modified xsi:type="dcterms:W3CDTF">2021-04-30T07:57:45Z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42F029195B8B42129AA93E51037C3A92</vt:lpwstr>
  </property>
</Properties>
</file>