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cs="Arial"/>
          <w:b/>
          <w:bCs w:val="0"/>
          <w:color w:val="000000"/>
          <w:sz w:val="44"/>
          <w:szCs w:val="44"/>
        </w:rPr>
      </w:pPr>
      <w:r>
        <w:rPr>
          <w:rFonts w:hint="eastAsia" w:ascii="方正小标宋简体" w:hAnsi="宋体" w:eastAsia="方正小标宋简体" w:cs="Arial"/>
          <w:b/>
          <w:bCs w:val="0"/>
          <w:color w:val="000000"/>
          <w:sz w:val="44"/>
          <w:szCs w:val="44"/>
          <w:lang w:val="en-US" w:eastAsia="zh-CN"/>
        </w:rPr>
        <w:t>财政</w:t>
      </w:r>
      <w:r>
        <w:rPr>
          <w:rFonts w:hint="eastAsia" w:ascii="方正小标宋简体" w:hAnsi="宋体" w:eastAsia="方正小标宋简体" w:cs="Arial"/>
          <w:b/>
          <w:bCs w:val="0"/>
          <w:color w:val="000000"/>
          <w:sz w:val="44"/>
          <w:szCs w:val="44"/>
        </w:rPr>
        <w:t>项目支出绩效评价报告</w:t>
      </w:r>
    </w:p>
    <w:p>
      <w:pPr>
        <w:rPr>
          <w:rFonts w:hint="eastAsia" w:ascii="黑体" w:hAnsi="宋体" w:eastAsia="黑体" w:cs="Arial"/>
          <w:bCs/>
          <w:color w:val="000000"/>
          <w:sz w:val="32"/>
          <w:szCs w:val="32"/>
        </w:rPr>
      </w:pPr>
    </w:p>
    <w:p>
      <w:pPr>
        <w:pStyle w:val="9"/>
        <w:rPr>
          <w:rFonts w:hint="eastAsia" w:ascii="黑体" w:hAnsi="宋体" w:eastAsia="黑体" w:cs="Arial"/>
          <w:bCs/>
          <w:color w:val="000000"/>
          <w:sz w:val="32"/>
          <w:szCs w:val="32"/>
        </w:rPr>
      </w:pPr>
    </w:p>
    <w:p>
      <w:pPr>
        <w:pStyle w:val="9"/>
        <w:rPr>
          <w:rFonts w:hint="eastAsia" w:ascii="黑体" w:hAnsi="宋体" w:eastAsia="黑体" w:cs="Arial"/>
          <w:bCs/>
          <w:color w:val="000000"/>
          <w:sz w:val="32"/>
          <w:szCs w:val="32"/>
        </w:rPr>
      </w:pPr>
    </w:p>
    <w:p>
      <w:pPr>
        <w:pStyle w:val="9"/>
        <w:rPr>
          <w:rFonts w:hint="eastAsia" w:ascii="黑体" w:hAnsi="宋体" w:eastAsia="黑体" w:cs="Arial"/>
          <w:bCs/>
          <w:color w:val="000000"/>
          <w:sz w:val="32"/>
          <w:szCs w:val="32"/>
        </w:rPr>
      </w:pPr>
    </w:p>
    <w:p>
      <w:pPr>
        <w:spacing w:line="600" w:lineRule="exact"/>
        <w:ind w:firstLine="160" w:firstLineChars="50"/>
        <w:rPr>
          <w:rFonts w:hint="eastAsia" w:ascii="黑体" w:hAnsi="黑体" w:eastAsia="黑体" w:cs="黑体"/>
          <w:bCs/>
          <w:color w:val="000000"/>
          <w:sz w:val="32"/>
          <w:szCs w:val="32"/>
          <w:u w:val="single"/>
        </w:rPr>
      </w:pPr>
      <w:r>
        <w:rPr>
          <w:rFonts w:hint="eastAsia" w:ascii="黑体" w:hAnsi="宋体" w:eastAsia="黑体" w:cs="Arial"/>
          <w:bCs/>
          <w:color w:val="000000"/>
          <w:sz w:val="32"/>
          <w:szCs w:val="32"/>
        </w:rPr>
        <w:t>项目名称：</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lang w:val="en-US" w:eastAsia="zh-CN"/>
        </w:rPr>
        <w:t xml:space="preserve">        文化发展基金</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lang w:val="en-US" w:eastAsia="zh-CN"/>
        </w:rPr>
        <w:t xml:space="preserve">      </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lang w:val="en-US" w:eastAsia="zh-CN"/>
        </w:rPr>
        <w:t xml:space="preserve">   </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lang w:val="en-US" w:eastAsia="zh-CN"/>
        </w:rPr>
        <w:t xml:space="preserve"> </w:t>
      </w:r>
      <w:r>
        <w:rPr>
          <w:rFonts w:hint="eastAsia" w:ascii="黑体" w:hAnsi="黑体" w:eastAsia="黑体" w:cs="黑体"/>
          <w:bCs/>
          <w:color w:val="000000"/>
          <w:sz w:val="32"/>
          <w:szCs w:val="32"/>
          <w:u w:val="single"/>
        </w:rPr>
        <w:t xml:space="preserve"> </w:t>
      </w:r>
    </w:p>
    <w:p>
      <w:pPr>
        <w:spacing w:line="600" w:lineRule="exact"/>
        <w:rPr>
          <w:rFonts w:hint="default" w:ascii="黑体" w:hAnsi="宋体" w:eastAsia="黑体" w:cs="Arial"/>
          <w:bCs/>
          <w:color w:val="000000"/>
          <w:sz w:val="32"/>
          <w:szCs w:val="32"/>
          <w:lang w:val="en-US" w:eastAsia="zh-CN"/>
        </w:rPr>
      </w:pPr>
      <w:r>
        <w:rPr>
          <w:rFonts w:hint="eastAsia" w:ascii="黑体" w:hAnsi="宋体" w:eastAsia="黑体" w:cs="Arial"/>
          <w:bCs/>
          <w:color w:val="000000"/>
          <w:sz w:val="32"/>
          <w:szCs w:val="32"/>
          <w:lang w:val="en-US" w:eastAsia="zh-CN"/>
        </w:rPr>
        <w:t xml:space="preserve">    </w:t>
      </w:r>
    </w:p>
    <w:p>
      <w:pPr>
        <w:spacing w:line="600" w:lineRule="exact"/>
        <w:ind w:firstLine="160" w:firstLineChars="50"/>
        <w:rPr>
          <w:rFonts w:hint="eastAsia" w:ascii="黑体" w:hAnsi="宋体" w:eastAsia="黑体" w:cs="Arial"/>
          <w:bCs/>
          <w:color w:val="000000"/>
          <w:sz w:val="32"/>
          <w:szCs w:val="32"/>
          <w:lang w:val="en-US" w:eastAsia="zh-CN"/>
        </w:rPr>
      </w:pPr>
      <w:r>
        <w:rPr>
          <w:rFonts w:hint="eastAsia" w:ascii="黑体" w:hAnsi="宋体" w:eastAsia="黑体" w:cs="Arial"/>
          <w:bCs/>
          <w:color w:val="000000"/>
          <w:sz w:val="32"/>
          <w:szCs w:val="32"/>
        </w:rPr>
        <w:t>项目类别：</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lang w:val="en-US" w:eastAsia="zh-CN"/>
        </w:rPr>
        <w:t xml:space="preserve">    业务类</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lang w:val="en-US" w:eastAsia="zh-CN"/>
        </w:rPr>
        <w:t xml:space="preserve">  </w:t>
      </w:r>
      <w:r>
        <w:rPr>
          <w:rFonts w:hint="eastAsia" w:ascii="黑体" w:hAnsi="黑体" w:eastAsia="黑体" w:cs="黑体"/>
          <w:bCs/>
          <w:color w:val="000000"/>
          <w:sz w:val="32"/>
          <w:szCs w:val="32"/>
          <w:u w:val="single"/>
        </w:rPr>
        <w:t xml:space="preserve">               </w:t>
      </w:r>
    </w:p>
    <w:p>
      <w:pPr>
        <w:spacing w:line="600" w:lineRule="exact"/>
        <w:rPr>
          <w:rFonts w:hint="eastAsia" w:ascii="黑体" w:hAnsi="宋体" w:eastAsia="黑体" w:cs="Arial"/>
          <w:bCs/>
          <w:color w:val="000000"/>
          <w:sz w:val="32"/>
          <w:szCs w:val="32"/>
        </w:rPr>
      </w:pPr>
    </w:p>
    <w:p>
      <w:pPr>
        <w:spacing w:line="600" w:lineRule="exact"/>
        <w:ind w:firstLine="160" w:firstLineChars="50"/>
        <w:rPr>
          <w:rFonts w:hint="default" w:ascii="黑体" w:hAnsi="宋体" w:eastAsia="黑体" w:cs="Arial"/>
          <w:bCs/>
          <w:color w:val="000000"/>
          <w:sz w:val="32"/>
          <w:szCs w:val="32"/>
          <w:lang w:val="en-US" w:eastAsia="zh-CN"/>
        </w:rPr>
      </w:pPr>
      <w:r>
        <w:rPr>
          <w:rFonts w:hint="eastAsia" w:ascii="黑体" w:hAnsi="宋体" w:eastAsia="黑体" w:cs="Arial"/>
          <w:bCs/>
          <w:color w:val="000000"/>
          <w:sz w:val="32"/>
          <w:szCs w:val="32"/>
        </w:rPr>
        <w:t>实施单位：</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lang w:val="en-US" w:eastAsia="zh-CN"/>
        </w:rPr>
        <w:t xml:space="preserve">          南昌市西湖区文化馆</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lang w:val="en-US" w:eastAsia="zh-CN"/>
        </w:rPr>
        <w:t xml:space="preserve">       </w:t>
      </w:r>
      <w:r>
        <w:rPr>
          <w:rFonts w:hint="eastAsia" w:ascii="黑体" w:hAnsi="黑体" w:eastAsia="黑体" w:cs="黑体"/>
          <w:bCs/>
          <w:color w:val="000000"/>
          <w:sz w:val="32"/>
          <w:szCs w:val="32"/>
          <w:u w:val="single"/>
        </w:rPr>
        <w:t xml:space="preserve"> </w:t>
      </w:r>
    </w:p>
    <w:p>
      <w:pPr>
        <w:spacing w:line="600" w:lineRule="exact"/>
        <w:rPr>
          <w:rFonts w:hint="eastAsia" w:ascii="黑体" w:hAnsi="宋体" w:eastAsia="黑体" w:cs="Arial"/>
          <w:bCs/>
          <w:color w:val="000000"/>
          <w:sz w:val="32"/>
          <w:szCs w:val="32"/>
        </w:rPr>
      </w:pPr>
    </w:p>
    <w:p>
      <w:pPr>
        <w:spacing w:line="600" w:lineRule="exact"/>
        <w:ind w:firstLine="160" w:firstLineChars="50"/>
        <w:jc w:val="left"/>
        <w:rPr>
          <w:rFonts w:hint="eastAsia" w:ascii="黑体" w:hAnsi="黑体" w:eastAsia="黑体" w:cs="黑体"/>
          <w:bCs/>
          <w:color w:val="000000"/>
          <w:sz w:val="32"/>
          <w:szCs w:val="32"/>
          <w:u w:val="single"/>
        </w:rPr>
      </w:pPr>
      <w:r>
        <w:rPr>
          <w:rFonts w:hint="eastAsia" w:ascii="黑体" w:hAnsi="宋体" w:eastAsia="黑体" w:cs="Arial"/>
          <w:bCs/>
          <w:color w:val="000000"/>
          <w:sz w:val="32"/>
          <w:szCs w:val="32"/>
        </w:rPr>
        <w:t>主管部门：</w:t>
      </w:r>
      <w:r>
        <w:rPr>
          <w:rFonts w:hint="eastAsia" w:ascii="黑体" w:hAnsi="宋体" w:eastAsia="黑体" w:cs="Arial"/>
          <w:bCs/>
          <w:color w:val="000000"/>
          <w:sz w:val="32"/>
          <w:szCs w:val="32"/>
          <w:u w:val="single"/>
          <w:lang w:val="en-US" w:eastAsia="zh-CN"/>
        </w:rPr>
        <w:t xml:space="preserve">   </w:t>
      </w:r>
      <w:r>
        <w:rPr>
          <w:rFonts w:hint="eastAsia" w:ascii="黑体" w:hAnsi="黑体" w:eastAsia="黑体" w:cs="黑体"/>
          <w:bCs/>
          <w:color w:val="000000"/>
          <w:sz w:val="32"/>
          <w:szCs w:val="32"/>
          <w:u w:val="single"/>
        </w:rPr>
        <w:t xml:space="preserve">西湖区文化广电新闻出版旅游局 </w:t>
      </w:r>
      <w:r>
        <w:rPr>
          <w:rFonts w:hint="eastAsia" w:ascii="黑体" w:hAnsi="黑体" w:eastAsia="黑体" w:cs="黑体"/>
          <w:bCs/>
          <w:color w:val="000000"/>
          <w:sz w:val="32"/>
          <w:szCs w:val="32"/>
          <w:u w:val="single"/>
          <w:lang w:val="en-US" w:eastAsia="zh-CN"/>
        </w:rPr>
        <w:t xml:space="preserve"> </w:t>
      </w:r>
      <w:r>
        <w:rPr>
          <w:rFonts w:hint="eastAsia" w:ascii="黑体" w:hAnsi="黑体" w:eastAsia="黑体" w:cs="黑体"/>
          <w:bCs/>
          <w:color w:val="000000"/>
          <w:sz w:val="32"/>
          <w:szCs w:val="32"/>
          <w:u w:val="single"/>
        </w:rPr>
        <w:t>（盖章）</w:t>
      </w:r>
    </w:p>
    <w:p>
      <w:pPr>
        <w:spacing w:line="600" w:lineRule="exact"/>
        <w:rPr>
          <w:rFonts w:hint="eastAsia" w:ascii="黑体" w:hAnsi="宋体" w:eastAsia="黑体" w:cs="Arial"/>
          <w:bCs/>
          <w:color w:val="000000"/>
          <w:sz w:val="32"/>
          <w:szCs w:val="32"/>
        </w:rPr>
      </w:pPr>
    </w:p>
    <w:p>
      <w:pPr>
        <w:spacing w:line="600" w:lineRule="exact"/>
        <w:ind w:firstLine="160" w:firstLineChars="50"/>
        <w:jc w:val="left"/>
        <w:rPr>
          <w:rFonts w:hint="eastAsia" w:ascii="黑体" w:hAnsi="宋体" w:eastAsia="黑体" w:cs="Arial"/>
          <w:bCs/>
          <w:color w:val="000000"/>
          <w:sz w:val="32"/>
          <w:szCs w:val="32"/>
        </w:rPr>
      </w:pPr>
      <w:r>
        <w:rPr>
          <w:rFonts w:hint="eastAsia" w:ascii="黑体" w:hAnsi="宋体" w:eastAsia="黑体" w:cs="Arial"/>
          <w:bCs/>
          <w:color w:val="000000"/>
          <w:sz w:val="32"/>
          <w:szCs w:val="32"/>
        </w:rPr>
        <w:t>评价机构</w:t>
      </w:r>
      <w:r>
        <w:rPr>
          <w:rFonts w:hint="eastAsia" w:ascii="黑体" w:hAnsi="宋体" w:eastAsia="黑体" w:cs="Arial"/>
          <w:bCs/>
          <w:color w:val="000000"/>
          <w:sz w:val="32"/>
          <w:szCs w:val="32"/>
          <w:lang w:eastAsia="zh-CN"/>
        </w:rPr>
        <w:t>：</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lang w:val="en-US" w:eastAsia="zh-CN"/>
        </w:rPr>
        <w:t xml:space="preserve">  </w:t>
      </w:r>
      <w:r>
        <w:rPr>
          <w:rFonts w:hint="eastAsia" w:ascii="黑体" w:hAnsi="黑体" w:eastAsia="黑体" w:cs="黑体"/>
          <w:bCs/>
          <w:color w:val="000000"/>
          <w:sz w:val="32"/>
          <w:szCs w:val="32"/>
          <w:u w:val="single"/>
        </w:rPr>
        <w:t>西湖区文化广电新闻出版旅游局</w:t>
      </w:r>
      <w:r>
        <w:rPr>
          <w:rFonts w:hint="eastAsia" w:ascii="黑体" w:hAnsi="黑体" w:eastAsia="黑体" w:cs="黑体"/>
          <w:bCs/>
          <w:color w:val="000000"/>
          <w:sz w:val="32"/>
          <w:szCs w:val="32"/>
          <w:u w:val="single"/>
          <w:lang w:val="en-US" w:eastAsia="zh-CN"/>
        </w:rPr>
        <w:t xml:space="preserve">  </w:t>
      </w:r>
      <w:r>
        <w:rPr>
          <w:rFonts w:hint="eastAsia" w:ascii="黑体" w:hAnsi="黑体" w:eastAsia="黑体" w:cs="黑体"/>
          <w:bCs/>
          <w:color w:val="000000"/>
          <w:sz w:val="32"/>
          <w:szCs w:val="32"/>
          <w:u w:val="single"/>
        </w:rPr>
        <w:t>（盖章）</w:t>
      </w:r>
    </w:p>
    <w:p>
      <w:pPr>
        <w:spacing w:line="600" w:lineRule="exact"/>
        <w:rPr>
          <w:rFonts w:hint="eastAsia" w:ascii="黑体" w:hAnsi="宋体" w:eastAsia="黑体" w:cs="Arial"/>
          <w:bCs/>
          <w:color w:val="000000"/>
          <w:sz w:val="32"/>
          <w:szCs w:val="32"/>
        </w:rPr>
      </w:pPr>
    </w:p>
    <w:p>
      <w:pPr>
        <w:spacing w:line="600" w:lineRule="exact"/>
        <w:ind w:firstLine="160" w:firstLineChars="50"/>
        <w:rPr>
          <w:rFonts w:hint="default" w:ascii="黑体" w:hAnsi="宋体" w:eastAsia="黑体" w:cs="Arial"/>
          <w:bCs/>
          <w:color w:val="000000"/>
          <w:sz w:val="32"/>
          <w:szCs w:val="32"/>
          <w:lang w:val="en-US" w:eastAsia="zh-CN"/>
        </w:rPr>
      </w:pPr>
      <w:r>
        <w:rPr>
          <w:rFonts w:hint="eastAsia" w:ascii="黑体" w:hAnsi="宋体" w:eastAsia="黑体" w:cs="Arial"/>
          <w:bCs/>
          <w:color w:val="000000"/>
          <w:sz w:val="32"/>
          <w:szCs w:val="32"/>
        </w:rPr>
        <w:t>评价年度：</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lang w:val="en-US" w:eastAsia="zh-CN"/>
        </w:rPr>
        <w:t>2020年度</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lang w:val="en-US" w:eastAsia="zh-CN"/>
        </w:rPr>
        <w:t xml:space="preserve">   </w:t>
      </w:r>
    </w:p>
    <w:p>
      <w:pPr>
        <w:rPr>
          <w:rFonts w:hint="eastAsia" w:ascii="黑体" w:hAnsi="宋体" w:eastAsia="黑体" w:cs="Arial"/>
          <w:bCs/>
          <w:color w:val="000000"/>
          <w:sz w:val="32"/>
          <w:szCs w:val="32"/>
        </w:rPr>
      </w:pPr>
    </w:p>
    <w:p>
      <w:pPr>
        <w:jc w:val="center"/>
        <w:rPr>
          <w:rFonts w:hint="eastAsia" w:ascii="黑体" w:hAnsi="宋体" w:eastAsia="黑体" w:cs="Arial"/>
          <w:bCs/>
          <w:color w:val="000000"/>
          <w:sz w:val="32"/>
          <w:szCs w:val="32"/>
        </w:rPr>
      </w:pPr>
    </w:p>
    <w:p>
      <w:pPr>
        <w:pStyle w:val="9"/>
        <w:rPr>
          <w:rFonts w:hint="eastAsia" w:ascii="黑体" w:hAnsi="宋体" w:eastAsia="黑体" w:cs="Arial"/>
          <w:bCs/>
          <w:color w:val="000000"/>
          <w:sz w:val="32"/>
          <w:szCs w:val="32"/>
        </w:rPr>
      </w:pPr>
    </w:p>
    <w:p>
      <w:pPr>
        <w:pStyle w:val="9"/>
        <w:rPr>
          <w:rFonts w:hint="eastAsia" w:ascii="黑体" w:hAnsi="宋体" w:eastAsia="黑体" w:cs="Arial"/>
          <w:bCs/>
          <w:color w:val="000000"/>
          <w:sz w:val="32"/>
          <w:szCs w:val="32"/>
        </w:rPr>
      </w:pPr>
    </w:p>
    <w:p>
      <w:pPr>
        <w:jc w:val="center"/>
        <w:rPr>
          <w:rFonts w:hint="eastAsia" w:ascii="黑体" w:hAnsi="宋体" w:eastAsia="黑体" w:cs="Arial"/>
          <w:bCs/>
          <w:color w:val="000000"/>
          <w:sz w:val="32"/>
          <w:szCs w:val="32"/>
        </w:rPr>
      </w:pPr>
    </w:p>
    <w:p>
      <w:pPr>
        <w:jc w:val="center"/>
        <w:rPr>
          <w:rFonts w:hint="eastAsia" w:ascii="黑体" w:hAnsi="宋体" w:eastAsia="黑体" w:cs="Arial"/>
          <w:bCs/>
          <w:color w:val="000000"/>
          <w:sz w:val="32"/>
          <w:szCs w:val="32"/>
        </w:rPr>
      </w:pPr>
      <w:r>
        <w:rPr>
          <w:rFonts w:hint="eastAsia" w:ascii="黑体" w:hAnsi="宋体" w:eastAsia="黑体" w:cs="Arial"/>
          <w:bCs/>
          <w:color w:val="000000"/>
          <w:sz w:val="32"/>
          <w:szCs w:val="32"/>
          <w:lang w:val="en-US" w:eastAsia="zh-CN"/>
        </w:rPr>
        <w:t>2021</w:t>
      </w:r>
      <w:r>
        <w:rPr>
          <w:rFonts w:hint="eastAsia" w:ascii="黑体" w:hAnsi="宋体" w:eastAsia="黑体" w:cs="Arial"/>
          <w:bCs/>
          <w:color w:val="000000"/>
          <w:sz w:val="32"/>
          <w:szCs w:val="32"/>
        </w:rPr>
        <w:t>年</w:t>
      </w:r>
      <w:r>
        <w:rPr>
          <w:rFonts w:hint="eastAsia" w:ascii="黑体" w:hAnsi="宋体" w:eastAsia="黑体" w:cs="Arial"/>
          <w:bCs/>
          <w:color w:val="000000"/>
          <w:sz w:val="32"/>
          <w:szCs w:val="32"/>
          <w:lang w:val="en-US" w:eastAsia="zh-CN"/>
        </w:rPr>
        <w:t>5</w:t>
      </w:r>
      <w:r>
        <w:rPr>
          <w:rFonts w:hint="eastAsia" w:ascii="黑体" w:hAnsi="宋体" w:eastAsia="黑体" w:cs="Arial"/>
          <w:bCs/>
          <w:color w:val="000000"/>
          <w:sz w:val="32"/>
          <w:szCs w:val="32"/>
        </w:rPr>
        <w:t>月</w:t>
      </w:r>
      <w:r>
        <w:rPr>
          <w:rFonts w:hint="eastAsia" w:ascii="黑体" w:hAnsi="宋体" w:eastAsia="黑体" w:cs="Arial"/>
          <w:bCs/>
          <w:color w:val="000000"/>
          <w:sz w:val="32"/>
          <w:szCs w:val="32"/>
          <w:lang w:val="en-US" w:eastAsia="zh-CN"/>
        </w:rPr>
        <w:t>28</w:t>
      </w:r>
      <w:r>
        <w:rPr>
          <w:rFonts w:hint="eastAsia" w:ascii="黑体" w:hAnsi="宋体" w:eastAsia="黑体" w:cs="Arial"/>
          <w:bCs/>
          <w:color w:val="000000"/>
          <w:sz w:val="32"/>
          <w:szCs w:val="32"/>
        </w:rPr>
        <w:t>日</w:t>
      </w:r>
    </w:p>
    <w:p>
      <w:pPr>
        <w:jc w:val="center"/>
        <w:rPr>
          <w:rFonts w:hint="eastAsia" w:ascii="黑体" w:hAnsi="宋体" w:eastAsia="黑体" w:cs="Arial"/>
          <w:bCs/>
          <w:color w:val="000000"/>
          <w:sz w:val="32"/>
          <w:szCs w:val="32"/>
        </w:rPr>
      </w:pPr>
    </w:p>
    <w:tbl>
      <w:tblPr>
        <w:tblStyle w:val="10"/>
        <w:tblW w:w="8928" w:type="dxa"/>
        <w:jc w:val="center"/>
        <w:tblLayout w:type="fixed"/>
        <w:tblCellMar>
          <w:top w:w="0" w:type="dxa"/>
          <w:left w:w="108" w:type="dxa"/>
          <w:bottom w:w="0" w:type="dxa"/>
          <w:right w:w="108" w:type="dxa"/>
        </w:tblCellMar>
      </w:tblPr>
      <w:tblGrid>
        <w:gridCol w:w="1629"/>
        <w:gridCol w:w="4215"/>
        <w:gridCol w:w="1384"/>
        <w:gridCol w:w="1700"/>
      </w:tblGrid>
      <w:tr>
        <w:tblPrEx>
          <w:tblCellMar>
            <w:top w:w="0" w:type="dxa"/>
            <w:left w:w="108" w:type="dxa"/>
            <w:bottom w:w="0" w:type="dxa"/>
            <w:right w:w="108" w:type="dxa"/>
          </w:tblCellMar>
        </w:tblPrEx>
        <w:trPr>
          <w:trHeight w:val="745" w:hRule="atLeast"/>
          <w:jc w:val="center"/>
        </w:trPr>
        <w:tc>
          <w:tcPr>
            <w:tcW w:w="8928"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eastAsia="黑体"/>
                <w:color w:val="000000"/>
                <w:sz w:val="28"/>
                <w:szCs w:val="28"/>
              </w:rPr>
            </w:pPr>
            <w:r>
              <w:rPr>
                <w:rFonts w:hint="eastAsia" w:ascii="黑体" w:hAnsi="黑体" w:eastAsia="黑体" w:cs="黑体"/>
                <w:bCs/>
                <w:color w:val="000000"/>
                <w:sz w:val="28"/>
                <w:szCs w:val="28"/>
              </w:rPr>
              <w:t>项目绩效评价人员</w:t>
            </w:r>
          </w:p>
        </w:tc>
      </w:tr>
      <w:tr>
        <w:tblPrEx>
          <w:tblCellMar>
            <w:top w:w="0" w:type="dxa"/>
            <w:left w:w="108" w:type="dxa"/>
            <w:bottom w:w="0" w:type="dxa"/>
            <w:right w:w="108" w:type="dxa"/>
          </w:tblCellMar>
        </w:tblPrEx>
        <w:trPr>
          <w:trHeight w:val="745" w:hRule="atLeast"/>
          <w:jc w:val="center"/>
        </w:trPr>
        <w:tc>
          <w:tcPr>
            <w:tcW w:w="162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姓  名</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单  位</w:t>
            </w: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职称/职务</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签  名</w:t>
            </w:r>
          </w:p>
        </w:tc>
      </w:tr>
      <w:tr>
        <w:tblPrEx>
          <w:tblCellMar>
            <w:top w:w="0" w:type="dxa"/>
            <w:left w:w="108" w:type="dxa"/>
            <w:bottom w:w="0" w:type="dxa"/>
            <w:right w:w="108" w:type="dxa"/>
          </w:tblCellMar>
        </w:tblPrEx>
        <w:trPr>
          <w:trHeight w:val="745" w:hRule="atLeast"/>
          <w:jc w:val="center"/>
        </w:trPr>
        <w:tc>
          <w:tcPr>
            <w:tcW w:w="162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仿宋" w:hAnsi="仿宋" w:eastAsia="仿宋" w:cs="仿宋"/>
                <w:b w:val="0"/>
                <w:bCs w:val="0"/>
                <w:color w:val="000000"/>
                <w:sz w:val="28"/>
                <w:szCs w:val="28"/>
                <w:u w:val="none"/>
                <w:lang w:val="en-US" w:eastAsia="zh-CN"/>
              </w:rPr>
            </w:pPr>
            <w:r>
              <w:rPr>
                <w:rFonts w:hint="eastAsia" w:ascii="仿宋" w:hAnsi="仿宋" w:eastAsia="仿宋" w:cs="仿宋"/>
                <w:b w:val="0"/>
                <w:bCs w:val="0"/>
                <w:color w:val="000000"/>
                <w:sz w:val="28"/>
                <w:szCs w:val="28"/>
                <w:lang w:eastAsia="zh-CN"/>
              </w:rPr>
              <w:t>李云</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仿宋" w:hAnsi="仿宋" w:eastAsia="仿宋" w:cs="仿宋"/>
                <w:b w:val="0"/>
                <w:bCs w:val="0"/>
                <w:color w:val="000000"/>
                <w:sz w:val="28"/>
                <w:szCs w:val="28"/>
                <w:u w:val="none"/>
                <w:lang w:val="en-US" w:eastAsia="zh-CN"/>
              </w:rPr>
            </w:pPr>
            <w:r>
              <w:rPr>
                <w:rFonts w:hint="eastAsia" w:ascii="仿宋" w:hAnsi="仿宋" w:eastAsia="仿宋" w:cs="仿宋"/>
                <w:b w:val="0"/>
                <w:bCs w:val="0"/>
                <w:color w:val="000000"/>
                <w:kern w:val="0"/>
                <w:sz w:val="28"/>
                <w:szCs w:val="28"/>
                <w:lang w:bidi="ar"/>
              </w:rPr>
              <w:t>西湖区文广局</w:t>
            </w: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仿宋" w:hAnsi="仿宋" w:eastAsia="仿宋" w:cs="仿宋"/>
                <w:b w:val="0"/>
                <w:bCs w:val="0"/>
                <w:color w:val="000000"/>
                <w:sz w:val="28"/>
                <w:szCs w:val="28"/>
                <w:u w:val="none"/>
                <w:lang w:val="en-US" w:eastAsia="zh-CN"/>
              </w:rPr>
            </w:pPr>
            <w:r>
              <w:rPr>
                <w:rFonts w:hint="eastAsia" w:ascii="仿宋" w:hAnsi="仿宋" w:eastAsia="仿宋" w:cs="仿宋"/>
                <w:b w:val="0"/>
                <w:bCs w:val="0"/>
                <w:color w:val="000000"/>
                <w:kern w:val="0"/>
                <w:sz w:val="28"/>
                <w:szCs w:val="28"/>
                <w:lang w:bidi="ar"/>
              </w:rPr>
              <w:t>副局长</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s="Times New Roman"/>
                <w:color w:val="000000"/>
                <w:kern w:val="2"/>
                <w:sz w:val="28"/>
                <w:szCs w:val="28"/>
                <w:lang w:val="en-US" w:eastAsia="zh-CN" w:bidi="ar-SA"/>
              </w:rPr>
            </w:pPr>
          </w:p>
        </w:tc>
      </w:tr>
      <w:tr>
        <w:tblPrEx>
          <w:tblCellMar>
            <w:top w:w="0" w:type="dxa"/>
            <w:left w:w="108" w:type="dxa"/>
            <w:bottom w:w="0" w:type="dxa"/>
            <w:right w:w="108" w:type="dxa"/>
          </w:tblCellMar>
        </w:tblPrEx>
        <w:trPr>
          <w:trHeight w:val="745" w:hRule="atLeast"/>
          <w:jc w:val="center"/>
        </w:trPr>
        <w:tc>
          <w:tcPr>
            <w:tcW w:w="162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仿宋" w:hAnsi="仿宋" w:eastAsia="仿宋" w:cs="仿宋"/>
                <w:b w:val="0"/>
                <w:bCs w:val="0"/>
                <w:color w:val="000000"/>
                <w:sz w:val="28"/>
                <w:szCs w:val="28"/>
                <w:u w:val="none"/>
                <w:lang w:val="en-US" w:eastAsia="zh-CN"/>
              </w:rPr>
            </w:pPr>
            <w:r>
              <w:rPr>
                <w:rFonts w:hint="eastAsia" w:ascii="仿宋" w:hAnsi="仿宋" w:eastAsia="仿宋" w:cs="仿宋"/>
                <w:b w:val="0"/>
                <w:bCs w:val="0"/>
                <w:color w:val="000000"/>
                <w:sz w:val="28"/>
                <w:szCs w:val="28"/>
                <w:lang w:eastAsia="zh-CN"/>
              </w:rPr>
              <w:t>柯雪芳</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仿宋" w:hAnsi="仿宋" w:eastAsia="仿宋" w:cs="仿宋"/>
                <w:b w:val="0"/>
                <w:bCs w:val="0"/>
                <w:color w:val="000000"/>
                <w:sz w:val="28"/>
                <w:szCs w:val="28"/>
                <w:u w:val="none"/>
                <w:lang w:val="en-US" w:eastAsia="zh-CN"/>
              </w:rPr>
            </w:pPr>
            <w:r>
              <w:rPr>
                <w:rFonts w:hint="eastAsia" w:ascii="仿宋" w:hAnsi="仿宋" w:eastAsia="仿宋" w:cs="仿宋"/>
                <w:b w:val="0"/>
                <w:bCs w:val="0"/>
                <w:color w:val="000000"/>
                <w:kern w:val="0"/>
                <w:sz w:val="28"/>
                <w:szCs w:val="28"/>
                <w:lang w:bidi="ar"/>
              </w:rPr>
              <w:t>西湖区</w:t>
            </w:r>
            <w:r>
              <w:rPr>
                <w:rFonts w:hint="eastAsia" w:ascii="仿宋" w:hAnsi="仿宋" w:eastAsia="仿宋" w:cs="仿宋"/>
                <w:b w:val="0"/>
                <w:bCs w:val="0"/>
                <w:color w:val="000000"/>
                <w:kern w:val="0"/>
                <w:sz w:val="28"/>
                <w:szCs w:val="28"/>
                <w:lang w:eastAsia="zh-CN" w:bidi="ar"/>
              </w:rPr>
              <w:t>文化馆</w:t>
            </w: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仿宋" w:hAnsi="仿宋" w:eastAsia="仿宋" w:cs="仿宋"/>
                <w:b w:val="0"/>
                <w:bCs w:val="0"/>
                <w:color w:val="000000"/>
                <w:sz w:val="28"/>
                <w:szCs w:val="28"/>
                <w:u w:val="none"/>
                <w:lang w:val="en-US" w:eastAsia="zh-CN"/>
              </w:rPr>
            </w:pPr>
            <w:r>
              <w:rPr>
                <w:rFonts w:hint="eastAsia" w:ascii="仿宋" w:hAnsi="仿宋" w:eastAsia="仿宋" w:cs="仿宋"/>
                <w:b w:val="0"/>
                <w:bCs w:val="0"/>
                <w:color w:val="000000"/>
                <w:sz w:val="28"/>
                <w:szCs w:val="28"/>
                <w:u w:val="none"/>
                <w:lang w:val="en-US" w:eastAsia="zh-CN"/>
              </w:rPr>
              <w:t>党支部书记</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s="Times New Roman"/>
                <w:color w:val="000000"/>
                <w:kern w:val="2"/>
                <w:sz w:val="28"/>
                <w:szCs w:val="28"/>
                <w:lang w:val="en-US" w:eastAsia="zh-CN" w:bidi="ar-SA"/>
              </w:rPr>
            </w:pPr>
            <w:bookmarkStart w:id="2" w:name="_GoBack"/>
            <w:bookmarkEnd w:id="2"/>
          </w:p>
        </w:tc>
      </w:tr>
      <w:tr>
        <w:tblPrEx>
          <w:tblCellMar>
            <w:top w:w="0" w:type="dxa"/>
            <w:left w:w="108" w:type="dxa"/>
            <w:bottom w:w="0" w:type="dxa"/>
            <w:right w:w="108" w:type="dxa"/>
          </w:tblCellMar>
        </w:tblPrEx>
        <w:trPr>
          <w:trHeight w:val="745" w:hRule="atLeast"/>
          <w:jc w:val="center"/>
        </w:trPr>
        <w:tc>
          <w:tcPr>
            <w:tcW w:w="162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bCs/>
                <w:color w:val="000000"/>
                <w:sz w:val="28"/>
                <w:szCs w:val="28"/>
                <w:u w:val="none"/>
                <w:lang w:val="en-US" w:eastAsia="zh-CN"/>
              </w:rPr>
            </w:pPr>
            <w:r>
              <w:rPr>
                <w:rFonts w:hint="eastAsia" w:ascii="仿宋" w:hAnsi="仿宋" w:eastAsia="仿宋" w:cs="仿宋"/>
                <w:bCs/>
                <w:color w:val="000000"/>
                <w:sz w:val="28"/>
                <w:szCs w:val="28"/>
                <w:u w:val="none"/>
                <w:lang w:val="en-US" w:eastAsia="zh-CN"/>
              </w:rPr>
              <w:t>辜文琪</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bCs/>
                <w:color w:val="000000"/>
                <w:sz w:val="28"/>
                <w:szCs w:val="28"/>
                <w:u w:val="none"/>
                <w:lang w:val="en-US" w:eastAsia="zh-CN"/>
              </w:rPr>
            </w:pPr>
            <w:r>
              <w:rPr>
                <w:rFonts w:hint="eastAsia" w:ascii="仿宋" w:hAnsi="仿宋" w:eastAsia="仿宋" w:cs="仿宋"/>
                <w:b w:val="0"/>
                <w:bCs w:val="0"/>
                <w:color w:val="000000"/>
                <w:kern w:val="0"/>
                <w:sz w:val="28"/>
                <w:szCs w:val="28"/>
                <w:lang w:bidi="ar"/>
              </w:rPr>
              <w:t>西湖区</w:t>
            </w:r>
            <w:r>
              <w:rPr>
                <w:rFonts w:hint="eastAsia" w:ascii="仿宋" w:hAnsi="仿宋" w:eastAsia="仿宋" w:cs="仿宋"/>
                <w:b w:val="0"/>
                <w:bCs w:val="0"/>
                <w:color w:val="000000"/>
                <w:kern w:val="0"/>
                <w:sz w:val="28"/>
                <w:szCs w:val="28"/>
                <w:lang w:eastAsia="zh-CN" w:bidi="ar"/>
              </w:rPr>
              <w:t>文化馆</w:t>
            </w: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bCs/>
                <w:color w:val="000000"/>
                <w:sz w:val="28"/>
                <w:szCs w:val="28"/>
                <w:u w:val="none"/>
                <w:lang w:val="en-US" w:eastAsia="zh-CN"/>
              </w:rPr>
            </w:pPr>
            <w:r>
              <w:rPr>
                <w:rFonts w:hint="eastAsia" w:ascii="仿宋" w:hAnsi="仿宋" w:eastAsia="仿宋" w:cs="仿宋"/>
                <w:bCs/>
                <w:color w:val="000000"/>
                <w:sz w:val="28"/>
                <w:szCs w:val="28"/>
                <w:u w:val="none"/>
                <w:lang w:val="en-US" w:eastAsia="zh-CN"/>
              </w:rPr>
              <w:t>副馆长</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s="Times New Roman"/>
                <w:color w:val="000000"/>
                <w:kern w:val="2"/>
                <w:sz w:val="28"/>
                <w:szCs w:val="28"/>
                <w:lang w:val="en-US" w:eastAsia="zh-CN" w:bidi="ar-SA"/>
              </w:rPr>
            </w:pPr>
          </w:p>
        </w:tc>
      </w:tr>
      <w:tr>
        <w:tblPrEx>
          <w:tblCellMar>
            <w:top w:w="0" w:type="dxa"/>
            <w:left w:w="108" w:type="dxa"/>
            <w:bottom w:w="0" w:type="dxa"/>
            <w:right w:w="108" w:type="dxa"/>
          </w:tblCellMar>
        </w:tblPrEx>
        <w:trPr>
          <w:trHeight w:val="745" w:hRule="atLeast"/>
          <w:jc w:val="center"/>
        </w:trPr>
        <w:tc>
          <w:tcPr>
            <w:tcW w:w="162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62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62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62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r>
              <w:rPr>
                <w:rFonts w:hint="eastAsia" w:ascii="黑体" w:hAnsi="宋体" w:eastAsia="黑体"/>
                <w:color w:val="000000"/>
                <w:sz w:val="28"/>
                <w:szCs w:val="28"/>
              </w:rPr>
              <w:t xml:space="preserve">  </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62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62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62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1439" w:hRule="atLeast"/>
          <w:jc w:val="center"/>
        </w:trPr>
        <w:tc>
          <w:tcPr>
            <w:tcW w:w="162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left"/>
              <w:textAlignment w:val="center"/>
              <w:rPr>
                <w:rFonts w:hint="eastAsia" w:ascii="黑体" w:hAnsi="宋体" w:eastAsia="黑体"/>
                <w:color w:val="000000"/>
                <w:sz w:val="28"/>
                <w:szCs w:val="28"/>
              </w:rPr>
            </w:pPr>
            <w:r>
              <w:rPr>
                <w:rFonts w:hint="eastAsia" w:ascii="黑体" w:hAnsi="宋体" w:eastAsia="黑体"/>
                <w:color w:val="000000"/>
                <w:sz w:val="28"/>
                <w:szCs w:val="28"/>
              </w:rPr>
              <w:t>评价组组长</w:t>
            </w:r>
          </w:p>
          <w:p>
            <w:pPr>
              <w:autoSpaceDN w:val="0"/>
              <w:spacing w:line="300" w:lineRule="exact"/>
              <w:jc w:val="left"/>
              <w:textAlignment w:val="center"/>
              <w:rPr>
                <w:rFonts w:hint="eastAsia" w:ascii="黑体" w:hAnsi="宋体" w:eastAsia="黑体"/>
                <w:color w:val="000000"/>
                <w:sz w:val="28"/>
                <w:szCs w:val="28"/>
              </w:rPr>
            </w:pPr>
            <w:r>
              <w:rPr>
                <w:rFonts w:hint="eastAsia" w:ascii="黑体" w:hAnsi="宋体" w:eastAsia="黑体"/>
                <w:color w:val="000000"/>
                <w:sz w:val="28"/>
                <w:szCs w:val="28"/>
              </w:rPr>
              <w:t>(签名):</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08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r>
              <w:rPr>
                <w:rFonts w:hint="eastAsia" w:ascii="黑体" w:hAnsi="宋体" w:eastAsia="黑体"/>
                <w:color w:val="000000"/>
                <w:sz w:val="28"/>
                <w:szCs w:val="28"/>
                <w:lang w:val="en-US" w:eastAsia="zh-CN"/>
              </w:rPr>
              <w:t xml:space="preserve">2021 </w:t>
            </w:r>
            <w:r>
              <w:rPr>
                <w:rFonts w:hint="eastAsia" w:ascii="黑体" w:hAnsi="宋体" w:eastAsia="黑体"/>
                <w:color w:val="000000"/>
                <w:sz w:val="28"/>
                <w:szCs w:val="28"/>
              </w:rPr>
              <w:t xml:space="preserve">年 </w:t>
            </w:r>
            <w:r>
              <w:rPr>
                <w:rFonts w:hint="eastAsia" w:ascii="黑体" w:hAnsi="宋体" w:eastAsia="黑体"/>
                <w:color w:val="000000"/>
                <w:sz w:val="28"/>
                <w:szCs w:val="28"/>
                <w:lang w:val="en-US" w:eastAsia="zh-CN"/>
              </w:rPr>
              <w:t>5</w:t>
            </w:r>
            <w:r>
              <w:rPr>
                <w:rFonts w:hint="eastAsia" w:ascii="黑体" w:hAnsi="宋体" w:eastAsia="黑体"/>
                <w:color w:val="000000"/>
                <w:sz w:val="28"/>
                <w:szCs w:val="28"/>
              </w:rPr>
              <w:t xml:space="preserve"> 月</w:t>
            </w:r>
            <w:r>
              <w:rPr>
                <w:rFonts w:hint="eastAsia" w:ascii="黑体" w:hAnsi="宋体" w:eastAsia="黑体"/>
                <w:color w:val="000000"/>
                <w:sz w:val="28"/>
                <w:szCs w:val="28"/>
                <w:lang w:val="en-US" w:eastAsia="zh-CN"/>
              </w:rPr>
              <w:t xml:space="preserve"> 28</w:t>
            </w:r>
            <w:r>
              <w:rPr>
                <w:rFonts w:hint="eastAsia" w:ascii="黑体" w:hAnsi="宋体" w:eastAsia="黑体"/>
                <w:color w:val="000000"/>
                <w:sz w:val="28"/>
                <w:szCs w:val="28"/>
              </w:rPr>
              <w:t xml:space="preserve"> 日</w:t>
            </w:r>
          </w:p>
        </w:tc>
      </w:tr>
      <w:tr>
        <w:tblPrEx>
          <w:tblCellMar>
            <w:top w:w="0" w:type="dxa"/>
            <w:left w:w="108" w:type="dxa"/>
            <w:bottom w:w="0" w:type="dxa"/>
            <w:right w:w="108" w:type="dxa"/>
          </w:tblCellMar>
        </w:tblPrEx>
        <w:trPr>
          <w:trHeight w:val="1602" w:hRule="atLeast"/>
          <w:jc w:val="center"/>
        </w:trPr>
        <w:tc>
          <w:tcPr>
            <w:tcW w:w="162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left"/>
              <w:textAlignment w:val="center"/>
              <w:rPr>
                <w:rFonts w:hint="eastAsia" w:ascii="黑体" w:hAnsi="宋体" w:eastAsia="黑体"/>
                <w:color w:val="000000"/>
                <w:sz w:val="28"/>
                <w:szCs w:val="28"/>
              </w:rPr>
            </w:pPr>
            <w:r>
              <w:rPr>
                <w:rFonts w:hint="eastAsia" w:ascii="黑体" w:hAnsi="宋体" w:eastAsia="黑体"/>
                <w:color w:val="000000"/>
                <w:sz w:val="28"/>
                <w:szCs w:val="28"/>
              </w:rPr>
              <w:t>中介机构</w:t>
            </w:r>
          </w:p>
          <w:p>
            <w:pPr>
              <w:autoSpaceDN w:val="0"/>
              <w:spacing w:line="300" w:lineRule="exact"/>
              <w:jc w:val="left"/>
              <w:textAlignment w:val="center"/>
              <w:rPr>
                <w:rFonts w:hint="eastAsia" w:ascii="黑体" w:hAnsi="宋体" w:eastAsia="黑体"/>
                <w:color w:val="000000"/>
                <w:sz w:val="28"/>
                <w:szCs w:val="28"/>
              </w:rPr>
            </w:pPr>
            <w:r>
              <w:rPr>
                <w:rFonts w:hint="eastAsia" w:ascii="黑体" w:hAnsi="宋体" w:eastAsia="黑体"/>
                <w:color w:val="000000"/>
                <w:sz w:val="28"/>
                <w:szCs w:val="28"/>
              </w:rPr>
              <w:t>（盖章）:</w:t>
            </w:r>
          </w:p>
        </w:tc>
        <w:tc>
          <w:tcPr>
            <w:tcW w:w="421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08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r>
              <w:rPr>
                <w:rFonts w:hint="eastAsia" w:ascii="黑体" w:hAnsi="宋体" w:eastAsia="黑体"/>
                <w:color w:val="000000"/>
                <w:sz w:val="28"/>
                <w:szCs w:val="28"/>
                <w:lang w:val="en-US" w:eastAsia="zh-CN"/>
              </w:rPr>
              <w:t xml:space="preserve">2021 </w:t>
            </w:r>
            <w:r>
              <w:rPr>
                <w:rFonts w:hint="eastAsia" w:ascii="黑体" w:hAnsi="宋体" w:eastAsia="黑体"/>
                <w:color w:val="000000"/>
                <w:sz w:val="28"/>
                <w:szCs w:val="28"/>
              </w:rPr>
              <w:t xml:space="preserve">年 </w:t>
            </w:r>
            <w:r>
              <w:rPr>
                <w:rFonts w:hint="eastAsia" w:ascii="黑体" w:hAnsi="宋体" w:eastAsia="黑体"/>
                <w:color w:val="000000"/>
                <w:sz w:val="28"/>
                <w:szCs w:val="28"/>
                <w:lang w:val="en-US" w:eastAsia="zh-CN"/>
              </w:rPr>
              <w:t>5</w:t>
            </w:r>
            <w:r>
              <w:rPr>
                <w:rFonts w:hint="eastAsia" w:ascii="黑体" w:hAnsi="宋体" w:eastAsia="黑体"/>
                <w:color w:val="000000"/>
                <w:sz w:val="28"/>
                <w:szCs w:val="28"/>
              </w:rPr>
              <w:t xml:space="preserve"> 月</w:t>
            </w:r>
            <w:r>
              <w:rPr>
                <w:rFonts w:hint="eastAsia" w:ascii="黑体" w:hAnsi="宋体" w:eastAsia="黑体"/>
                <w:color w:val="000000"/>
                <w:sz w:val="28"/>
                <w:szCs w:val="28"/>
                <w:lang w:val="en-US" w:eastAsia="zh-CN"/>
              </w:rPr>
              <w:t>28</w:t>
            </w:r>
            <w:r>
              <w:rPr>
                <w:rFonts w:hint="eastAsia" w:ascii="黑体" w:hAnsi="宋体" w:eastAsia="黑体"/>
                <w:color w:val="000000"/>
                <w:sz w:val="28"/>
                <w:szCs w:val="28"/>
              </w:rPr>
              <w:t xml:space="preserve"> 日</w:t>
            </w:r>
          </w:p>
        </w:tc>
      </w:tr>
    </w:tbl>
    <w:p>
      <w:pPr>
        <w:jc w:val="left"/>
        <w:rPr>
          <w:rFonts w:hint="eastAsia" w:ascii="黑体" w:hAnsi="宋体" w:eastAsia="黑体"/>
          <w:color w:val="000000"/>
          <w:sz w:val="24"/>
          <w:szCs w:val="24"/>
        </w:rPr>
      </w:pPr>
    </w:p>
    <w:p>
      <w:pPr>
        <w:widowControl/>
        <w:spacing w:line="240" w:lineRule="auto"/>
        <w:jc w:val="center"/>
        <w:rPr>
          <w:rFonts w:hint="eastAsia" w:ascii="仿宋" w:hAnsi="仿宋" w:eastAsia="仿宋" w:cs="仿宋"/>
          <w:b/>
          <w:color w:val="000000"/>
          <w:kern w:val="0"/>
          <w:sz w:val="44"/>
          <w:szCs w:val="44"/>
        </w:rPr>
      </w:pPr>
    </w:p>
    <w:p>
      <w:pPr>
        <w:widowControl/>
        <w:spacing w:line="240" w:lineRule="auto"/>
        <w:jc w:val="center"/>
        <w:rPr>
          <w:rFonts w:hint="eastAsia" w:ascii="仿宋" w:hAnsi="仿宋" w:eastAsia="仿宋" w:cs="仿宋"/>
          <w:b/>
          <w:color w:val="000000"/>
          <w:kern w:val="0"/>
          <w:sz w:val="44"/>
          <w:szCs w:val="44"/>
        </w:rPr>
      </w:pPr>
    </w:p>
    <w:p>
      <w:pPr>
        <w:widowControl/>
        <w:spacing w:line="240" w:lineRule="auto"/>
        <w:jc w:val="center"/>
        <w:rPr>
          <w:rFonts w:hint="eastAsia" w:ascii="仿宋" w:hAnsi="仿宋" w:eastAsia="仿宋" w:cs="仿宋"/>
          <w:b/>
          <w:color w:val="000000"/>
          <w:kern w:val="0"/>
          <w:sz w:val="44"/>
          <w:szCs w:val="44"/>
        </w:rPr>
      </w:pPr>
      <w:r>
        <w:rPr>
          <w:rFonts w:hint="eastAsia" w:ascii="仿宋" w:hAnsi="仿宋" w:eastAsia="仿宋" w:cs="仿宋"/>
          <w:b/>
          <w:color w:val="000000"/>
          <w:kern w:val="0"/>
          <w:sz w:val="44"/>
          <w:szCs w:val="44"/>
          <w:lang w:eastAsia="zh-CN"/>
        </w:rPr>
        <w:t>西湖区文化广电新闻出版旅游局</w:t>
      </w:r>
      <w:r>
        <w:rPr>
          <w:rFonts w:hint="eastAsia" w:ascii="仿宋" w:hAnsi="仿宋" w:eastAsia="仿宋" w:cs="仿宋"/>
          <w:b/>
          <w:color w:val="000000"/>
          <w:kern w:val="0"/>
          <w:sz w:val="44"/>
          <w:szCs w:val="44"/>
        </w:rPr>
        <w:t xml:space="preserve"> </w:t>
      </w:r>
    </w:p>
    <w:p>
      <w:pPr>
        <w:spacing w:line="360" w:lineRule="auto"/>
        <w:jc w:val="center"/>
        <w:rPr>
          <w:rFonts w:hint="eastAsia" w:ascii="仿宋" w:hAnsi="仿宋" w:eastAsia="仿宋" w:cs="Arial"/>
          <w:b/>
          <w:bCs/>
          <w:sz w:val="44"/>
          <w:szCs w:val="44"/>
          <w:lang w:val="en-US" w:eastAsia="zh-CN"/>
        </w:rPr>
      </w:pPr>
      <w:r>
        <w:rPr>
          <w:rFonts w:hint="eastAsia" w:ascii="仿宋" w:hAnsi="仿宋" w:eastAsia="仿宋" w:cs="Arial"/>
          <w:b/>
          <w:bCs/>
          <w:sz w:val="44"/>
          <w:szCs w:val="44"/>
          <w:lang w:val="en-US" w:eastAsia="zh-CN"/>
        </w:rPr>
        <w:t>2020年度部门项目支出绩效评价报告</w:t>
      </w:r>
    </w:p>
    <w:p>
      <w:pPr>
        <w:jc w:val="center"/>
        <w:rPr>
          <w:rFonts w:hint="eastAsia" w:ascii="仿宋" w:hAnsi="仿宋" w:eastAsia="仿宋" w:cs="Arial"/>
          <w:b/>
          <w:bCs/>
          <w:sz w:val="44"/>
          <w:szCs w:val="44"/>
          <w:lang w:val="en-US" w:eastAsia="zh-CN"/>
        </w:rPr>
      </w:pP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color w:val="000000"/>
          <w:sz w:val="32"/>
          <w:szCs w:val="32"/>
          <w:lang w:val="en-US" w:eastAsia="zh-CN"/>
        </w:rPr>
        <w:t>为深入贯彻落实</w:t>
      </w:r>
      <w:r>
        <w:rPr>
          <w:rFonts w:hint="eastAsia" w:ascii="仿宋" w:hAnsi="仿宋" w:eastAsia="仿宋" w:cs="仿宋"/>
          <w:color w:val="000000"/>
          <w:sz w:val="32"/>
          <w:szCs w:val="32"/>
        </w:rPr>
        <w:t>《中共西湖区委西湖区人民政府关于全面实施预算绩效管理的实施意见》（西发[2019]11号）及《南昌市财政局关于开展2021年度预算绩效管理有关工作的通知》（洪财办[2021]7号）精神</w:t>
      </w:r>
      <w:r>
        <w:rPr>
          <w:rFonts w:hint="eastAsia" w:ascii="仿宋" w:hAnsi="仿宋" w:eastAsia="仿宋" w:cs="仿宋"/>
          <w:kern w:val="2"/>
          <w:sz w:val="32"/>
          <w:szCs w:val="32"/>
          <w:lang w:val="en-US" w:eastAsia="zh-CN" w:bidi="ar-SA"/>
        </w:rPr>
        <w:t>，增强单位预算编制的科学性、合理性、规范性，全面提高财政资源配置效率和使用效益，加快建立全方位、全过程、全覆盖、全公开的预算绩效管理机制，认真组织开展了文化发展基金项目绩效评价工作，现报告如下：</w:t>
      </w:r>
    </w:p>
    <w:p>
      <w:pPr>
        <w:spacing w:line="360" w:lineRule="auto"/>
        <w:ind w:firstLine="643" w:firstLineChars="200"/>
        <w:outlineLvl w:val="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一、基本情况</w:t>
      </w:r>
    </w:p>
    <w:p>
      <w:pPr>
        <w:spacing w:line="360" w:lineRule="auto"/>
        <w:ind w:firstLine="643" w:firstLineChars="200"/>
        <w:outlineLvl w:val="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（一）项目概况</w:t>
      </w:r>
    </w:p>
    <w:p>
      <w:pPr>
        <w:spacing w:line="360" w:lineRule="auto"/>
        <w:ind w:firstLine="643" w:firstLineChars="200"/>
        <w:outlineLvl w:val="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1.项目背景</w:t>
      </w:r>
    </w:p>
    <w:p>
      <w:pPr>
        <w:spacing w:line="360" w:lineRule="auto"/>
        <w:ind w:firstLine="640" w:firstLineChars="200"/>
        <w:rPr>
          <w:rFonts w:hint="default" w:ascii="仿宋" w:hAnsi="仿宋" w:eastAsia="仿宋" w:cs="Times New Roman"/>
          <w:b w:val="0"/>
          <w:kern w:val="2"/>
          <w:sz w:val="32"/>
          <w:szCs w:val="32"/>
          <w:highlight w:val="none"/>
          <w:lang w:val="en-US" w:eastAsia="zh-CN" w:bidi="ar-SA"/>
        </w:rPr>
      </w:pPr>
      <w:r>
        <w:rPr>
          <w:rFonts w:hint="eastAsia" w:ascii="仿宋" w:hAnsi="仿宋" w:eastAsia="仿宋" w:cs="Times New Roman"/>
          <w:b w:val="0"/>
          <w:kern w:val="2"/>
          <w:sz w:val="32"/>
          <w:szCs w:val="32"/>
          <w:highlight w:val="none"/>
          <w:lang w:val="en-US" w:eastAsia="zh-CN" w:bidi="ar-SA"/>
        </w:rPr>
        <w:t>为深入学习贯彻习近平总书记在全国宣传思想工作会议上的重要讲话精神，坚持把守正创新作为重要原则，着眼满足人民群众精神文化生活新期待，大力弘扬社会主义核心价值观，保障人民基本权益，丰富人民群众精神生活，以高质量文化供给增强人们的文化获得感幸福感。给西湖区文化馆文化发展基金项目经费，促进西湖区文化馆的发展。</w:t>
      </w:r>
    </w:p>
    <w:p>
      <w:pPr>
        <w:spacing w:line="360" w:lineRule="auto"/>
        <w:ind w:firstLine="643" w:firstLineChars="200"/>
        <w:outlineLvl w:val="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2.主要内容及实施情况</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（1）主要内容</w:t>
      </w:r>
    </w:p>
    <w:p>
      <w:pPr>
        <w:spacing w:line="360" w:lineRule="auto"/>
        <w:ind w:firstLine="640" w:firstLineChars="200"/>
        <w:rPr>
          <w:rFonts w:hint="eastAsia" w:ascii="仿宋" w:hAnsi="仿宋" w:eastAsia="仿宋" w:cs="Times New Roman"/>
          <w:b w:val="0"/>
          <w:kern w:val="2"/>
          <w:sz w:val="32"/>
          <w:szCs w:val="32"/>
          <w:highlight w:val="none"/>
          <w:lang w:val="en-US" w:eastAsia="zh-CN" w:bidi="ar-SA"/>
        </w:rPr>
      </w:pPr>
      <w:r>
        <w:rPr>
          <w:rFonts w:hint="eastAsia" w:ascii="仿宋" w:hAnsi="仿宋" w:eastAsia="仿宋" w:cs="Times New Roman"/>
          <w:b w:val="0"/>
          <w:kern w:val="2"/>
          <w:sz w:val="32"/>
          <w:szCs w:val="32"/>
          <w:highlight w:val="none"/>
          <w:lang w:val="en-US" w:eastAsia="zh-CN" w:bidi="ar-SA"/>
        </w:rPr>
        <w:t>围绕大型节假日主题，举办文化活动展演，活动表演形式有：歌舞、器乐独奏、诗朗诵、书画表演、军旅舞蹈、革命歌曲大联唱等。通过西湖区微信公众号、西湖区文化馆微信公众号、江西日报等媒体发布活动内容。</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（2）实施情况</w:t>
      </w:r>
    </w:p>
    <w:p>
      <w:pPr>
        <w:widowControl/>
        <w:spacing w:line="360" w:lineRule="auto"/>
        <w:ind w:firstLine="640" w:firstLineChars="200"/>
        <w:jc w:val="left"/>
        <w:rPr>
          <w:rFonts w:hint="eastAsia" w:ascii="仿宋" w:hAnsi="仿宋" w:eastAsia="仿宋" w:cs="Times New Roman"/>
          <w:b w:val="0"/>
          <w:kern w:val="2"/>
          <w:sz w:val="32"/>
          <w:szCs w:val="32"/>
          <w:highlight w:val="none"/>
          <w:lang w:val="en-US" w:eastAsia="zh-CN" w:bidi="ar-SA"/>
        </w:rPr>
      </w:pPr>
      <w:r>
        <w:rPr>
          <w:rFonts w:hint="eastAsia" w:ascii="仿宋" w:hAnsi="仿宋" w:eastAsia="仿宋" w:cs="Times New Roman"/>
          <w:kern w:val="2"/>
          <w:sz w:val="32"/>
          <w:szCs w:val="32"/>
          <w:lang w:val="en-US" w:eastAsia="zh-CN" w:bidi="ar-SA"/>
        </w:rPr>
        <w:t>通过项目的实施：</w:t>
      </w:r>
      <w:r>
        <w:rPr>
          <w:rFonts w:hint="eastAsia" w:ascii="仿宋" w:hAnsi="仿宋" w:eastAsia="仿宋" w:cs="Times New Roman"/>
          <w:b w:val="0"/>
          <w:kern w:val="2"/>
          <w:sz w:val="32"/>
          <w:szCs w:val="32"/>
          <w:highlight w:val="none"/>
          <w:lang w:val="en-US" w:eastAsia="zh-CN" w:bidi="ar-SA"/>
        </w:rPr>
        <w:t>①“我们的中国梦”——文化进万家2020年江西省民盟百名书法家写春联送祝福进社区活动南昌主会场暨西湖区“红色文艺轻骑兵”迎新年送文化进社区活动。②2020年西湖区春节团拜会文艺演出。③“我们的节日·端午”文艺演出。</w:t>
      </w:r>
    </w:p>
    <w:p>
      <w:pPr>
        <w:spacing w:line="360" w:lineRule="auto"/>
        <w:ind w:firstLine="964" w:firstLineChars="300"/>
        <w:outlineLvl w:val="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3.资金投入和使用情况</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（1）资金投入</w:t>
      </w:r>
    </w:p>
    <w:p>
      <w:pPr>
        <w:widowControl/>
        <w:spacing w:line="360" w:lineRule="auto"/>
        <w:ind w:firstLine="640" w:firstLineChars="200"/>
        <w:jc w:val="left"/>
        <w:rPr>
          <w:rFonts w:hint="eastAsia" w:ascii="仿宋" w:hAnsi="仿宋" w:eastAsia="仿宋" w:cs="仿宋"/>
          <w:kern w:val="2"/>
          <w:sz w:val="32"/>
          <w:szCs w:val="32"/>
          <w:lang w:val="en-US" w:eastAsia="zh-CN" w:bidi="ar-SA"/>
        </w:rPr>
      </w:pPr>
      <w:r>
        <w:rPr>
          <w:rFonts w:hint="eastAsia" w:ascii="仿宋" w:hAnsi="仿宋" w:eastAsia="仿宋" w:cs="Times New Roman"/>
          <w:kern w:val="2"/>
          <w:sz w:val="32"/>
          <w:szCs w:val="32"/>
          <w:lang w:val="en-US" w:eastAsia="zh-CN" w:bidi="ar-SA"/>
        </w:rPr>
        <w:t>2020年度</w:t>
      </w:r>
      <w:r>
        <w:rPr>
          <w:rFonts w:hint="eastAsia" w:ascii="仿宋" w:hAnsi="仿宋" w:eastAsia="仿宋" w:cs="Times New Roman"/>
          <w:b w:val="0"/>
          <w:kern w:val="2"/>
          <w:sz w:val="32"/>
          <w:szCs w:val="32"/>
          <w:highlight w:val="none"/>
          <w:lang w:val="en-US" w:eastAsia="zh-CN" w:bidi="ar-SA"/>
        </w:rPr>
        <w:t>文化发展基金</w:t>
      </w:r>
      <w:r>
        <w:rPr>
          <w:rFonts w:hint="eastAsia" w:ascii="仿宋" w:hAnsi="仿宋" w:eastAsia="仿宋" w:cs="Times New Roman"/>
          <w:kern w:val="2"/>
          <w:sz w:val="32"/>
          <w:szCs w:val="32"/>
          <w:lang w:val="en-US" w:eastAsia="zh-CN" w:bidi="ar-SA"/>
        </w:rPr>
        <w:t>的预算为70万元。财政实际下拨70万元，截止2020年12月31日，实际支出70万元，预算资金执行率为100%。</w:t>
      </w:r>
    </w:p>
    <w:p>
      <w:pPr>
        <w:widowControl/>
        <w:spacing w:line="360" w:lineRule="auto"/>
        <w:ind w:left="638" w:leftChars="304" w:firstLine="0" w:firstLineChars="0"/>
        <w:jc w:val="left"/>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（二）项目绩效目标</w:t>
      </w:r>
    </w:p>
    <w:p>
      <w:pPr>
        <w:spacing w:line="360" w:lineRule="auto"/>
        <w:ind w:firstLine="643" w:firstLineChars="200"/>
        <w:outlineLvl w:val="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1.总体目标</w:t>
      </w:r>
    </w:p>
    <w:p>
      <w:pPr>
        <w:spacing w:line="360" w:lineRule="auto"/>
        <w:ind w:firstLine="640" w:firstLineChars="200"/>
        <w:outlineLvl w:val="0"/>
        <w:rPr>
          <w:rFonts w:hint="eastAsia" w:ascii="仿宋" w:hAnsi="仿宋" w:eastAsia="仿宋" w:cs="Times New Roman"/>
          <w:kern w:val="2"/>
          <w:sz w:val="32"/>
          <w:szCs w:val="32"/>
          <w:lang w:val="en-US" w:eastAsia="zh-CN" w:bidi="ar-SA"/>
        </w:rPr>
      </w:pPr>
      <w:r>
        <w:rPr>
          <w:rFonts w:hint="eastAsia" w:ascii="仿宋" w:hAnsi="仿宋" w:eastAsia="仿宋" w:cs="仿宋"/>
          <w:color w:val="000000"/>
          <w:sz w:val="32"/>
          <w:szCs w:val="32"/>
          <w:shd w:val="clear" w:color="auto" w:fill="FFFFFF"/>
        </w:rPr>
        <w:t>营造一个热闹、祥和、团结、和谐、文明的文体氛围，进一步推动文化事业和文化产业发展，深入实施文化惠民工程，鼓舞广大干部群众以饱满的热情和昂扬的斗志推动全区经济跨越发展营造良好的新春氛围</w:t>
      </w:r>
      <w:r>
        <w:rPr>
          <w:rFonts w:hint="eastAsia" w:ascii="仿宋" w:hAnsi="仿宋" w:eastAsia="仿宋" w:cs="Times New Roman"/>
          <w:kern w:val="2"/>
          <w:sz w:val="32"/>
          <w:szCs w:val="32"/>
          <w:lang w:val="en-US" w:eastAsia="zh-CN" w:bidi="ar-SA"/>
        </w:rPr>
        <w:t>。</w:t>
      </w:r>
    </w:p>
    <w:p>
      <w:pPr>
        <w:spacing w:line="360" w:lineRule="auto"/>
        <w:ind w:firstLine="643" w:firstLineChars="200"/>
        <w:outlineLvl w:val="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2.阶段性目标</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bookmarkStart w:id="0" w:name="_Toc15905"/>
      <w:r>
        <w:rPr>
          <w:rFonts w:hint="eastAsia" w:ascii="仿宋" w:hAnsi="仿宋" w:eastAsia="仿宋" w:cs="仿宋"/>
          <w:kern w:val="2"/>
          <w:sz w:val="32"/>
          <w:szCs w:val="32"/>
          <w:lang w:val="en-US" w:eastAsia="zh-CN" w:bidi="ar-SA"/>
        </w:rPr>
        <w:t>（1）</w:t>
      </w:r>
      <w:bookmarkEnd w:id="0"/>
      <w:r>
        <w:rPr>
          <w:rFonts w:hint="eastAsia" w:ascii="仿宋" w:hAnsi="仿宋" w:eastAsia="仿宋" w:cs="仿宋"/>
          <w:kern w:val="2"/>
          <w:sz w:val="32"/>
          <w:szCs w:val="32"/>
          <w:lang w:val="en-US" w:eastAsia="zh-CN" w:bidi="ar-SA"/>
        </w:rPr>
        <w:t>围绕节庆主题，开展群演活动。</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（2）创作文艺精品，筹划大型赛事。</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（3）创作2项疫情作品。</w:t>
      </w:r>
    </w:p>
    <w:p>
      <w:pPr>
        <w:spacing w:line="360" w:lineRule="auto"/>
        <w:ind w:firstLine="643" w:firstLineChars="200"/>
        <w:outlineLvl w:val="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二、绩效评价工作开展情况</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（一）绩效评价目的、对象和范围</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本次绩效评价从项目执行过程中的投入、管理制度建设、资金使用规范性、项目资金的使用和产出效果等多个方面，全面评价项目绩效状况。目的是为今后项目实施方向及管理方式改进提供指导，逐步树立以结果为导向的预算观。针对项目执行过程中存在的问题及不足，提出针对性改进意见，以促进项目单位的项目管理水平，提升政策实施效果和财政资金使用效益，为预算资金安排和完善提供参考。评价范围是</w:t>
      </w:r>
      <w:r>
        <w:rPr>
          <w:rFonts w:hint="eastAsia" w:ascii="仿宋" w:hAnsi="仿宋" w:eastAsia="仿宋" w:cs="Times New Roman"/>
          <w:b w:val="0"/>
          <w:kern w:val="2"/>
          <w:sz w:val="32"/>
          <w:szCs w:val="32"/>
          <w:highlight w:val="none"/>
          <w:lang w:val="en-US" w:eastAsia="zh-CN" w:bidi="ar-SA"/>
        </w:rPr>
        <w:t>文化发展基金70</w:t>
      </w:r>
      <w:r>
        <w:rPr>
          <w:rFonts w:hint="eastAsia" w:ascii="仿宋" w:hAnsi="仿宋" w:eastAsia="仿宋" w:cs="仿宋"/>
          <w:kern w:val="2"/>
          <w:sz w:val="32"/>
          <w:szCs w:val="32"/>
          <w:lang w:val="en-US" w:eastAsia="zh-CN" w:bidi="ar-SA"/>
        </w:rPr>
        <w:t>万元。</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（二）绩效评价原则、评价指标体系、评价方法、评价标准</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1.绩效评价原则</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Times New Roman"/>
          <w:b w:val="0"/>
          <w:kern w:val="2"/>
          <w:sz w:val="32"/>
          <w:szCs w:val="32"/>
          <w:highlight w:val="none"/>
          <w:lang w:val="en-US" w:eastAsia="zh-CN" w:bidi="ar-SA"/>
        </w:rPr>
        <w:t>西湖区文化馆文化发展基金项目经费</w:t>
      </w:r>
      <w:r>
        <w:rPr>
          <w:rFonts w:hint="eastAsia" w:ascii="仿宋" w:hAnsi="仿宋" w:eastAsia="仿宋" w:cs="仿宋"/>
          <w:kern w:val="2"/>
          <w:sz w:val="32"/>
          <w:szCs w:val="32"/>
          <w:lang w:val="en-US" w:eastAsia="zh-CN" w:bidi="ar-SA"/>
        </w:rPr>
        <w:t>绩效评价将严格遵守科学规范原则、公正公开原则、分级分类原则以及绩效管理相关原则。</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2.评价指标体系</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根据财政部《预算绩效评价共性指标体系框架》等文件精神，确定本次绩效评价指标的整体框架，结合项目目标以及项目实施要求、申报要求、专项资金发放效果等内容，确定本次绩效评价指标体系的个性指标，具体详见《项目支出绩效评分表》，指标数据来源于相关法规、政府文件、基础数据采集、问卷调查和访谈等。</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评价指标体系表共 100 分。分值≥90 分，评价结果为“优”; 80分≤分值&lt;90 分，评价结果为“良”；60 分≤分值&lt;80 分，评价结果为“中”；分值&lt;60 分，评价结果为“差”。</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3.评价方法</w:t>
      </w:r>
    </w:p>
    <w:p>
      <w:pPr>
        <w:pStyle w:val="9"/>
        <w:spacing w:line="360" w:lineRule="auto"/>
        <w:ind w:left="0" w:leftChars="0"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绩效评价主要采用以下评价方法：</w:t>
      </w:r>
    </w:p>
    <w:p>
      <w:pPr>
        <w:pStyle w:val="9"/>
        <w:spacing w:line="360" w:lineRule="auto"/>
        <w:ind w:left="0" w:leftChars="0"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（1）成本效益分析法。是指将一定时期内的支出与效益进行对比分析，以评价绩效目标实现程度。</w:t>
      </w:r>
    </w:p>
    <w:p>
      <w:pPr>
        <w:pStyle w:val="9"/>
        <w:spacing w:line="360" w:lineRule="auto"/>
        <w:ind w:left="0" w:leftChars="0"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（2）比较分析法。指通过对绩效目标与实施效果、当期情况的比较，综合分析绩效目标实现程度。</w:t>
      </w:r>
    </w:p>
    <w:p>
      <w:pPr>
        <w:pStyle w:val="9"/>
        <w:spacing w:line="360" w:lineRule="auto"/>
        <w:ind w:left="0" w:leftChars="0"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（3）公众评判法。是指通过公众问卷及抽样调查等对财政支出效果进行评判，评价绩效目标实现程度。</w:t>
      </w:r>
    </w:p>
    <w:p>
      <w:pPr>
        <w:pStyle w:val="9"/>
        <w:spacing w:line="360" w:lineRule="auto"/>
        <w:ind w:left="0" w:leftChars="0"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4.评价标准</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按照《南昌市财政局关于开展2021年度预算绩效管理有关工作的通知》( 洪财办[2021] 7号),参照财政部《项目支出绩效评价共性指标体系框架》制定了《项目支出绩效评价指标体系评分表》，开展2020年项目支出绩效评价得分。</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（三）绩效评价工作过程</w:t>
      </w:r>
    </w:p>
    <w:p>
      <w:pPr>
        <w:spacing w:line="360" w:lineRule="auto"/>
        <w:ind w:firstLine="640" w:firstLineChars="200"/>
        <w:outlineLvl w:val="0"/>
        <w:rPr>
          <w:rFonts w:hint="eastAsia" w:ascii="仿宋" w:hAnsi="仿宋" w:eastAsia="仿宋" w:cs="仿宋"/>
          <w:b/>
          <w:bCs/>
          <w:kern w:val="2"/>
          <w:sz w:val="32"/>
          <w:szCs w:val="32"/>
          <w:lang w:val="en-US" w:eastAsia="zh-CN" w:bidi="ar-SA"/>
        </w:rPr>
      </w:pPr>
      <w:r>
        <w:rPr>
          <w:rFonts w:hint="eastAsia" w:ascii="仿宋" w:hAnsi="仿宋" w:eastAsia="仿宋" w:cs="仿宋"/>
          <w:color w:val="000000"/>
          <w:sz w:val="32"/>
          <w:szCs w:val="32"/>
          <w:lang w:val="en-US" w:eastAsia="zh-CN"/>
        </w:rPr>
        <w:t>自2021年3月15日项目布置会以来，在了解项目概况、管理制度、资金流程等基础上，完成了绩效评价方案，明确了本次绩效评价的目的、方法、评价的原则、评价标准、时间安排等。评价组严格按照工作方案，通过前期准备、实地核查、满意度调查、数据分析和报告撰写等环节，顺利完成了本次绩效评价报告工作。</w:t>
      </w:r>
    </w:p>
    <w:p>
      <w:pPr>
        <w:spacing w:line="360" w:lineRule="auto"/>
        <w:ind w:firstLine="643" w:firstLineChars="200"/>
        <w:outlineLvl w:val="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三、综合评价情况及评价结论</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根据自评绩效评分细则，西湖区文化广电新闻出版旅游局严格按照经费管理原则管理和使用，严格执行预算管理、防止各种违反财经纪律的行为、保障重点、量入为出、收支平衡的原则，提高了资金使用效益。项目绩效自评得分为94分，经绩效评价小组复核，项目最终绩效评价得分为94分，评价等级为“优”。</w:t>
      </w:r>
    </w:p>
    <w:tbl>
      <w:tblPr>
        <w:tblStyle w:val="10"/>
        <w:tblW w:w="96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514"/>
        <w:gridCol w:w="1680"/>
        <w:gridCol w:w="1692"/>
        <w:gridCol w:w="1584"/>
        <w:gridCol w:w="1788"/>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trPr>
        <w:tc>
          <w:tcPr>
            <w:tcW w:w="1514" w:type="dxa"/>
            <w:shd w:val="clear" w:color="auto" w:fill="00B0F0"/>
            <w:noWrap w:val="0"/>
            <w:vAlign w:val="center"/>
          </w:tcPr>
          <w:p>
            <w:pPr>
              <w:widowControl/>
              <w:spacing w:line="360" w:lineRule="auto"/>
              <w:jc w:val="center"/>
              <w:textAlignment w:val="center"/>
              <w:rPr>
                <w:rFonts w:hint="eastAsia" w:eastAsia="宋体" w:cs="仿宋_GB2312"/>
                <w:b/>
                <w:bCs/>
                <w:color w:val="FFFFFF"/>
                <w:kern w:val="0"/>
                <w:sz w:val="28"/>
                <w:szCs w:val="28"/>
                <w:lang w:eastAsia="zh-CN"/>
              </w:rPr>
            </w:pPr>
            <w:r>
              <w:rPr>
                <w:rFonts w:hint="eastAsia" w:cs="仿宋_GB2312"/>
                <w:b/>
                <w:bCs/>
                <w:color w:val="FFFFFF"/>
                <w:kern w:val="0"/>
                <w:sz w:val="28"/>
                <w:szCs w:val="28"/>
              </w:rPr>
              <w:t>项目</w:t>
            </w:r>
            <w:r>
              <w:rPr>
                <w:rFonts w:hint="eastAsia" w:cs="仿宋_GB2312"/>
                <w:b/>
                <w:bCs/>
                <w:color w:val="FFFFFF"/>
                <w:kern w:val="0"/>
                <w:sz w:val="28"/>
                <w:szCs w:val="28"/>
                <w:lang w:val="en-US" w:eastAsia="zh-CN"/>
              </w:rPr>
              <w:t>决策</w:t>
            </w:r>
          </w:p>
          <w:p>
            <w:pPr>
              <w:widowControl/>
              <w:spacing w:line="360" w:lineRule="auto"/>
              <w:jc w:val="center"/>
              <w:textAlignment w:val="center"/>
              <w:rPr>
                <w:rFonts w:cs="仿宋_GB2312"/>
                <w:b/>
                <w:bCs/>
                <w:color w:val="FFFFFF"/>
                <w:sz w:val="28"/>
                <w:szCs w:val="28"/>
              </w:rPr>
            </w:pPr>
            <w:r>
              <w:rPr>
                <w:rFonts w:hint="eastAsia" w:cs="仿宋_GB2312"/>
                <w:b/>
                <w:bCs/>
                <w:color w:val="FFFFFF"/>
                <w:kern w:val="0"/>
                <w:sz w:val="28"/>
                <w:szCs w:val="28"/>
              </w:rPr>
              <w:t>（1</w:t>
            </w:r>
            <w:r>
              <w:rPr>
                <w:rFonts w:hint="eastAsia" w:cs="仿宋_GB2312"/>
                <w:b/>
                <w:bCs/>
                <w:color w:val="FFFFFF"/>
                <w:kern w:val="0"/>
                <w:sz w:val="28"/>
                <w:szCs w:val="28"/>
                <w:lang w:val="en-US" w:eastAsia="zh-CN"/>
              </w:rPr>
              <w:t>8</w:t>
            </w:r>
            <w:r>
              <w:rPr>
                <w:rFonts w:hint="eastAsia" w:cs="仿宋_GB2312"/>
                <w:b/>
                <w:bCs/>
                <w:color w:val="FFFFFF"/>
                <w:kern w:val="0"/>
                <w:sz w:val="28"/>
                <w:szCs w:val="28"/>
              </w:rPr>
              <w:t>分）</w:t>
            </w:r>
          </w:p>
        </w:tc>
        <w:tc>
          <w:tcPr>
            <w:tcW w:w="1680" w:type="dxa"/>
            <w:shd w:val="clear" w:color="auto" w:fill="00B0F0"/>
            <w:noWrap w:val="0"/>
            <w:vAlign w:val="center"/>
          </w:tcPr>
          <w:p>
            <w:pPr>
              <w:widowControl/>
              <w:spacing w:line="360" w:lineRule="auto"/>
              <w:jc w:val="center"/>
              <w:textAlignment w:val="center"/>
              <w:rPr>
                <w:rFonts w:hint="eastAsia" w:eastAsia="宋体" w:cs="仿宋_GB2312"/>
                <w:b/>
                <w:bCs/>
                <w:color w:val="FFFFFF"/>
                <w:kern w:val="0"/>
                <w:sz w:val="28"/>
                <w:szCs w:val="28"/>
                <w:lang w:eastAsia="zh-CN"/>
              </w:rPr>
            </w:pPr>
            <w:r>
              <w:rPr>
                <w:rFonts w:hint="eastAsia" w:cs="仿宋_GB2312"/>
                <w:b/>
                <w:bCs/>
                <w:color w:val="FFFFFF"/>
                <w:kern w:val="0"/>
                <w:sz w:val="28"/>
                <w:szCs w:val="28"/>
              </w:rPr>
              <w:t>项目</w:t>
            </w:r>
            <w:r>
              <w:rPr>
                <w:rFonts w:hint="eastAsia" w:cs="仿宋_GB2312"/>
                <w:b/>
                <w:bCs/>
                <w:color w:val="FFFFFF"/>
                <w:kern w:val="0"/>
                <w:sz w:val="28"/>
                <w:szCs w:val="28"/>
                <w:lang w:val="en-US" w:eastAsia="zh-CN"/>
              </w:rPr>
              <w:t>过程</w:t>
            </w:r>
          </w:p>
          <w:p>
            <w:pPr>
              <w:widowControl/>
              <w:spacing w:line="360" w:lineRule="auto"/>
              <w:jc w:val="center"/>
              <w:textAlignment w:val="center"/>
              <w:rPr>
                <w:rFonts w:hint="eastAsia" w:cs="仿宋_GB2312"/>
                <w:b/>
                <w:bCs/>
                <w:color w:val="FFFFFF"/>
                <w:kern w:val="0"/>
                <w:sz w:val="28"/>
                <w:szCs w:val="28"/>
              </w:rPr>
            </w:pPr>
            <w:r>
              <w:rPr>
                <w:rFonts w:hint="eastAsia" w:cs="仿宋_GB2312"/>
                <w:b/>
                <w:bCs/>
                <w:color w:val="FFFFFF"/>
                <w:kern w:val="0"/>
                <w:sz w:val="28"/>
                <w:szCs w:val="28"/>
              </w:rPr>
              <w:t>（</w:t>
            </w:r>
            <w:r>
              <w:rPr>
                <w:rFonts w:hint="eastAsia" w:cs="仿宋_GB2312"/>
                <w:b/>
                <w:bCs/>
                <w:color w:val="FFFFFF"/>
                <w:kern w:val="0"/>
                <w:sz w:val="28"/>
                <w:szCs w:val="28"/>
                <w:lang w:val="en-US" w:eastAsia="zh-CN"/>
              </w:rPr>
              <w:t>22</w:t>
            </w:r>
            <w:r>
              <w:rPr>
                <w:rFonts w:hint="eastAsia" w:cs="仿宋_GB2312"/>
                <w:b/>
                <w:bCs/>
                <w:color w:val="FFFFFF"/>
                <w:kern w:val="0"/>
                <w:sz w:val="28"/>
                <w:szCs w:val="28"/>
              </w:rPr>
              <w:t>分）</w:t>
            </w:r>
          </w:p>
        </w:tc>
        <w:tc>
          <w:tcPr>
            <w:tcW w:w="1692" w:type="dxa"/>
            <w:shd w:val="clear" w:color="auto" w:fill="00B0F0"/>
            <w:noWrap w:val="0"/>
            <w:vAlign w:val="center"/>
          </w:tcPr>
          <w:p>
            <w:pPr>
              <w:widowControl/>
              <w:spacing w:line="360" w:lineRule="auto"/>
              <w:jc w:val="center"/>
              <w:textAlignment w:val="center"/>
              <w:rPr>
                <w:rFonts w:hint="eastAsia" w:cs="仿宋_GB2312"/>
                <w:b/>
                <w:bCs/>
                <w:color w:val="FFFFFF"/>
                <w:kern w:val="0"/>
                <w:sz w:val="28"/>
                <w:szCs w:val="28"/>
              </w:rPr>
            </w:pPr>
            <w:r>
              <w:rPr>
                <w:rFonts w:hint="eastAsia" w:cs="仿宋_GB2312"/>
                <w:b/>
                <w:bCs/>
                <w:color w:val="FFFFFF"/>
                <w:kern w:val="0"/>
                <w:sz w:val="28"/>
                <w:szCs w:val="28"/>
              </w:rPr>
              <w:t>项目产出</w:t>
            </w:r>
          </w:p>
          <w:p>
            <w:pPr>
              <w:widowControl/>
              <w:spacing w:line="360" w:lineRule="auto"/>
              <w:jc w:val="center"/>
              <w:textAlignment w:val="center"/>
              <w:rPr>
                <w:rFonts w:cs="仿宋_GB2312"/>
                <w:b/>
                <w:bCs/>
                <w:color w:val="FFFFFF"/>
                <w:sz w:val="28"/>
                <w:szCs w:val="28"/>
              </w:rPr>
            </w:pPr>
            <w:r>
              <w:rPr>
                <w:rFonts w:hint="eastAsia" w:cs="仿宋_GB2312"/>
                <w:b/>
                <w:bCs/>
                <w:color w:val="FFFFFF"/>
                <w:kern w:val="0"/>
                <w:sz w:val="28"/>
                <w:szCs w:val="28"/>
              </w:rPr>
              <w:t>（</w:t>
            </w:r>
            <w:r>
              <w:rPr>
                <w:rFonts w:hint="eastAsia" w:cs="仿宋_GB2312"/>
                <w:b/>
                <w:bCs/>
                <w:color w:val="FFFFFF"/>
                <w:kern w:val="0"/>
                <w:sz w:val="28"/>
                <w:szCs w:val="28"/>
                <w:lang w:val="en-US" w:eastAsia="zh-CN"/>
              </w:rPr>
              <w:t>35</w:t>
            </w:r>
            <w:r>
              <w:rPr>
                <w:rFonts w:hint="eastAsia" w:cs="仿宋_GB2312"/>
                <w:b/>
                <w:bCs/>
                <w:color w:val="FFFFFF"/>
                <w:kern w:val="0"/>
                <w:sz w:val="28"/>
                <w:szCs w:val="28"/>
              </w:rPr>
              <w:t>分）</w:t>
            </w:r>
          </w:p>
        </w:tc>
        <w:tc>
          <w:tcPr>
            <w:tcW w:w="1584" w:type="dxa"/>
            <w:shd w:val="clear" w:color="auto" w:fill="00B0F0"/>
            <w:noWrap w:val="0"/>
            <w:vAlign w:val="center"/>
          </w:tcPr>
          <w:p>
            <w:pPr>
              <w:widowControl/>
              <w:spacing w:line="360" w:lineRule="auto"/>
              <w:jc w:val="center"/>
              <w:textAlignment w:val="center"/>
              <w:rPr>
                <w:rFonts w:hint="eastAsia" w:cs="仿宋_GB2312"/>
                <w:b/>
                <w:bCs/>
                <w:color w:val="FFFFFF"/>
                <w:kern w:val="0"/>
                <w:sz w:val="28"/>
                <w:szCs w:val="28"/>
              </w:rPr>
            </w:pPr>
            <w:r>
              <w:rPr>
                <w:rFonts w:hint="eastAsia" w:cs="仿宋_GB2312"/>
                <w:b/>
                <w:bCs/>
                <w:color w:val="FFFFFF"/>
                <w:kern w:val="0"/>
                <w:sz w:val="28"/>
                <w:szCs w:val="28"/>
              </w:rPr>
              <w:t>项目效果</w:t>
            </w:r>
          </w:p>
          <w:p>
            <w:pPr>
              <w:widowControl/>
              <w:spacing w:line="360" w:lineRule="auto"/>
              <w:jc w:val="center"/>
              <w:textAlignment w:val="center"/>
              <w:rPr>
                <w:rFonts w:cs="仿宋_GB2312"/>
                <w:b/>
                <w:bCs/>
                <w:color w:val="FFFFFF"/>
                <w:sz w:val="28"/>
                <w:szCs w:val="28"/>
              </w:rPr>
            </w:pPr>
            <w:r>
              <w:rPr>
                <w:rFonts w:hint="eastAsia" w:cs="仿宋_GB2312"/>
                <w:b/>
                <w:bCs/>
                <w:color w:val="FFFFFF"/>
                <w:kern w:val="0"/>
                <w:sz w:val="28"/>
                <w:szCs w:val="28"/>
              </w:rPr>
              <w:t>（</w:t>
            </w:r>
            <w:r>
              <w:rPr>
                <w:rFonts w:hint="eastAsia" w:cs="仿宋_GB2312"/>
                <w:b/>
                <w:bCs/>
                <w:color w:val="FFFFFF"/>
                <w:kern w:val="0"/>
                <w:sz w:val="28"/>
                <w:szCs w:val="28"/>
                <w:lang w:val="en-US" w:eastAsia="zh-CN"/>
              </w:rPr>
              <w:t>15</w:t>
            </w:r>
            <w:r>
              <w:rPr>
                <w:rFonts w:hint="eastAsia" w:cs="仿宋_GB2312"/>
                <w:b/>
                <w:bCs/>
                <w:color w:val="FFFFFF"/>
                <w:kern w:val="0"/>
                <w:sz w:val="28"/>
                <w:szCs w:val="28"/>
              </w:rPr>
              <w:t>分）</w:t>
            </w:r>
          </w:p>
        </w:tc>
        <w:tc>
          <w:tcPr>
            <w:tcW w:w="1788" w:type="dxa"/>
            <w:shd w:val="clear" w:color="auto" w:fill="00B0F0"/>
            <w:noWrap w:val="0"/>
            <w:vAlign w:val="center"/>
          </w:tcPr>
          <w:p>
            <w:pPr>
              <w:widowControl/>
              <w:spacing w:line="360" w:lineRule="auto"/>
              <w:jc w:val="center"/>
              <w:textAlignment w:val="center"/>
              <w:rPr>
                <w:rFonts w:cs="仿宋_GB2312"/>
                <w:b/>
                <w:bCs/>
                <w:color w:val="FFFFFF"/>
                <w:kern w:val="0"/>
                <w:sz w:val="28"/>
                <w:szCs w:val="28"/>
              </w:rPr>
            </w:pPr>
            <w:r>
              <w:rPr>
                <w:rFonts w:hint="eastAsia" w:cs="仿宋_GB2312"/>
                <w:b/>
                <w:bCs/>
                <w:color w:val="FFFFFF"/>
                <w:kern w:val="0"/>
                <w:sz w:val="28"/>
                <w:szCs w:val="28"/>
              </w:rPr>
              <w:t>项目满意度</w:t>
            </w:r>
          </w:p>
          <w:p>
            <w:pPr>
              <w:widowControl/>
              <w:spacing w:line="360" w:lineRule="auto"/>
              <w:jc w:val="center"/>
              <w:textAlignment w:val="center"/>
              <w:rPr>
                <w:rFonts w:cs="仿宋_GB2312"/>
                <w:b/>
                <w:bCs/>
                <w:color w:val="FFFFFF"/>
                <w:sz w:val="28"/>
                <w:szCs w:val="28"/>
              </w:rPr>
            </w:pPr>
            <w:r>
              <w:rPr>
                <w:rFonts w:hint="eastAsia" w:cs="仿宋_GB2312"/>
                <w:b/>
                <w:bCs/>
                <w:color w:val="FFFFFF"/>
                <w:kern w:val="0"/>
                <w:sz w:val="28"/>
                <w:szCs w:val="28"/>
              </w:rPr>
              <w:t>（</w:t>
            </w:r>
            <w:r>
              <w:rPr>
                <w:rFonts w:hint="eastAsia" w:cs="仿宋_GB2312"/>
                <w:b/>
                <w:bCs/>
                <w:color w:val="FFFFFF"/>
                <w:kern w:val="0"/>
                <w:sz w:val="28"/>
                <w:szCs w:val="28"/>
                <w:lang w:val="en-US" w:eastAsia="zh-CN"/>
              </w:rPr>
              <w:t>10</w:t>
            </w:r>
            <w:r>
              <w:rPr>
                <w:rFonts w:hint="eastAsia" w:cs="仿宋_GB2312"/>
                <w:b/>
                <w:bCs/>
                <w:color w:val="FFFFFF"/>
                <w:kern w:val="0"/>
                <w:sz w:val="28"/>
                <w:szCs w:val="28"/>
              </w:rPr>
              <w:t>分）</w:t>
            </w:r>
          </w:p>
        </w:tc>
        <w:tc>
          <w:tcPr>
            <w:tcW w:w="1368" w:type="dxa"/>
            <w:shd w:val="clear" w:color="auto" w:fill="00B0F0"/>
            <w:noWrap w:val="0"/>
            <w:vAlign w:val="center"/>
          </w:tcPr>
          <w:p>
            <w:pPr>
              <w:widowControl/>
              <w:spacing w:line="360" w:lineRule="auto"/>
              <w:jc w:val="center"/>
              <w:textAlignment w:val="center"/>
              <w:rPr>
                <w:rFonts w:cs="仿宋_GB2312"/>
                <w:b/>
                <w:bCs/>
                <w:color w:val="FFFFFF"/>
                <w:sz w:val="28"/>
                <w:szCs w:val="28"/>
              </w:rPr>
            </w:pPr>
            <w:r>
              <w:rPr>
                <w:rFonts w:hint="eastAsia" w:cs="仿宋_GB2312"/>
                <w:b/>
                <w:bCs/>
                <w:color w:val="FFFFFF"/>
                <w:kern w:val="0"/>
                <w:sz w:val="28"/>
                <w:szCs w:val="28"/>
              </w:rPr>
              <w:t>综合得分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atLeast"/>
        </w:trPr>
        <w:tc>
          <w:tcPr>
            <w:tcW w:w="1514" w:type="dxa"/>
            <w:noWrap w:val="0"/>
            <w:vAlign w:val="center"/>
          </w:tcPr>
          <w:p>
            <w:pPr>
              <w:spacing w:line="360" w:lineRule="auto"/>
              <w:jc w:val="center"/>
              <w:rPr>
                <w:rFonts w:hint="eastAsia" w:eastAsia="仿宋" w:cs="仿宋"/>
                <w:color w:val="000000"/>
                <w:sz w:val="24"/>
                <w:szCs w:val="24"/>
                <w:lang w:eastAsia="zh-CN"/>
              </w:rPr>
            </w:pPr>
            <w:r>
              <w:rPr>
                <w:rFonts w:hint="eastAsia" w:eastAsia="仿宋" w:cs="仿宋"/>
                <w:color w:val="000000"/>
                <w:sz w:val="24"/>
                <w:szCs w:val="24"/>
              </w:rPr>
              <w:t>1</w:t>
            </w:r>
            <w:r>
              <w:rPr>
                <w:rFonts w:hint="eastAsia" w:eastAsia="仿宋" w:cs="仿宋"/>
                <w:color w:val="000000"/>
                <w:sz w:val="24"/>
                <w:szCs w:val="24"/>
                <w:lang w:val="en-US" w:eastAsia="zh-CN"/>
              </w:rPr>
              <w:t>8</w:t>
            </w:r>
          </w:p>
        </w:tc>
        <w:tc>
          <w:tcPr>
            <w:tcW w:w="1680" w:type="dxa"/>
            <w:noWrap w:val="0"/>
            <w:vAlign w:val="center"/>
          </w:tcPr>
          <w:p>
            <w:pPr>
              <w:spacing w:line="360" w:lineRule="auto"/>
              <w:jc w:val="center"/>
              <w:rPr>
                <w:rFonts w:hint="default" w:eastAsia="仿宋" w:cs="仿宋"/>
                <w:color w:val="000000"/>
                <w:sz w:val="24"/>
                <w:szCs w:val="24"/>
                <w:lang w:val="en-US" w:eastAsia="zh-CN"/>
              </w:rPr>
            </w:pPr>
            <w:r>
              <w:rPr>
                <w:rFonts w:hint="eastAsia" w:eastAsia="仿宋" w:cs="仿宋"/>
                <w:color w:val="000000"/>
                <w:sz w:val="24"/>
                <w:szCs w:val="24"/>
                <w:lang w:val="en-US" w:eastAsia="zh-CN"/>
              </w:rPr>
              <w:t>22</w:t>
            </w:r>
          </w:p>
        </w:tc>
        <w:tc>
          <w:tcPr>
            <w:tcW w:w="1692" w:type="dxa"/>
            <w:noWrap w:val="0"/>
            <w:vAlign w:val="center"/>
          </w:tcPr>
          <w:p>
            <w:pPr>
              <w:spacing w:line="360" w:lineRule="auto"/>
              <w:jc w:val="center"/>
              <w:rPr>
                <w:rFonts w:hint="default" w:eastAsia="仿宋" w:cs="仿宋"/>
                <w:color w:val="000000"/>
                <w:sz w:val="24"/>
                <w:szCs w:val="24"/>
                <w:lang w:val="en-US" w:eastAsia="zh-CN"/>
              </w:rPr>
            </w:pPr>
            <w:r>
              <w:rPr>
                <w:rFonts w:hint="eastAsia" w:eastAsia="仿宋" w:cs="仿宋"/>
                <w:color w:val="000000"/>
                <w:sz w:val="24"/>
                <w:szCs w:val="24"/>
                <w:lang w:val="en-US" w:eastAsia="zh-CN"/>
              </w:rPr>
              <w:t>35</w:t>
            </w:r>
          </w:p>
        </w:tc>
        <w:tc>
          <w:tcPr>
            <w:tcW w:w="1584" w:type="dxa"/>
            <w:noWrap w:val="0"/>
            <w:vAlign w:val="center"/>
          </w:tcPr>
          <w:p>
            <w:pPr>
              <w:spacing w:line="360" w:lineRule="auto"/>
              <w:jc w:val="center"/>
              <w:rPr>
                <w:rFonts w:hint="default" w:eastAsia="仿宋" w:cs="仿宋"/>
                <w:color w:val="000000"/>
                <w:sz w:val="24"/>
                <w:szCs w:val="24"/>
                <w:lang w:val="en-US" w:eastAsia="zh-CN"/>
              </w:rPr>
            </w:pPr>
            <w:r>
              <w:rPr>
                <w:rFonts w:hint="eastAsia" w:eastAsia="仿宋" w:cs="仿宋"/>
                <w:color w:val="000000"/>
                <w:sz w:val="24"/>
                <w:szCs w:val="24"/>
                <w:lang w:val="en-US" w:eastAsia="zh-CN"/>
              </w:rPr>
              <w:t>11</w:t>
            </w:r>
          </w:p>
        </w:tc>
        <w:tc>
          <w:tcPr>
            <w:tcW w:w="1788" w:type="dxa"/>
            <w:noWrap w:val="0"/>
            <w:vAlign w:val="center"/>
          </w:tcPr>
          <w:p>
            <w:pPr>
              <w:spacing w:line="360" w:lineRule="auto"/>
              <w:jc w:val="center"/>
              <w:rPr>
                <w:rFonts w:hint="default" w:eastAsia="仿宋" w:cs="仿宋"/>
                <w:color w:val="000000"/>
                <w:sz w:val="24"/>
                <w:szCs w:val="24"/>
                <w:lang w:val="en-US" w:eastAsia="zh-CN"/>
              </w:rPr>
            </w:pPr>
            <w:r>
              <w:rPr>
                <w:rFonts w:hint="eastAsia" w:eastAsia="仿宋" w:cs="仿宋"/>
                <w:color w:val="000000"/>
                <w:sz w:val="24"/>
                <w:szCs w:val="24"/>
                <w:lang w:val="en-US" w:eastAsia="zh-CN"/>
              </w:rPr>
              <w:t>8</w:t>
            </w:r>
          </w:p>
        </w:tc>
        <w:tc>
          <w:tcPr>
            <w:tcW w:w="1368" w:type="dxa"/>
            <w:noWrap w:val="0"/>
            <w:vAlign w:val="center"/>
          </w:tcPr>
          <w:p>
            <w:pPr>
              <w:spacing w:line="360" w:lineRule="auto"/>
              <w:jc w:val="center"/>
              <w:rPr>
                <w:rFonts w:hint="default" w:eastAsia="仿宋" w:cs="仿宋"/>
                <w:color w:val="000000"/>
                <w:sz w:val="24"/>
                <w:szCs w:val="24"/>
                <w:lang w:val="en-US" w:eastAsia="zh-CN"/>
              </w:rPr>
            </w:pPr>
            <w:r>
              <w:rPr>
                <w:rFonts w:hint="eastAsia" w:eastAsia="仿宋" w:cs="仿宋"/>
                <w:color w:val="000000"/>
                <w:sz w:val="24"/>
                <w:szCs w:val="24"/>
                <w:lang w:val="en-US" w:eastAsia="zh-CN"/>
              </w:rPr>
              <w:t>94</w:t>
            </w:r>
          </w:p>
        </w:tc>
      </w:tr>
    </w:tbl>
    <w:p>
      <w:pPr>
        <w:tabs>
          <w:tab w:val="left" w:pos="710"/>
        </w:tabs>
        <w:spacing w:line="360" w:lineRule="auto"/>
        <w:outlineLvl w:val="0"/>
        <w:rPr>
          <w:rFonts w:hint="eastAsia" w:ascii="仿宋" w:hAnsi="仿宋" w:eastAsia="仿宋" w:cs="仿宋"/>
          <w:b/>
          <w:bCs/>
          <w:kern w:val="2"/>
          <w:sz w:val="32"/>
          <w:szCs w:val="32"/>
          <w:lang w:val="en-US" w:eastAsia="zh-CN" w:bidi="ar-SA"/>
        </w:rPr>
      </w:pPr>
    </w:p>
    <w:p>
      <w:pPr>
        <w:spacing w:line="360" w:lineRule="auto"/>
        <w:ind w:firstLine="643" w:firstLineChars="200"/>
        <w:outlineLvl w:val="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四、绩效评价指标分析</w:t>
      </w:r>
    </w:p>
    <w:p>
      <w:pPr>
        <w:spacing w:line="360" w:lineRule="auto"/>
        <w:ind w:firstLine="643" w:firstLineChars="200"/>
        <w:outlineLvl w:val="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（一）项目决策情况</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（1）项目立项</w:t>
      </w:r>
    </w:p>
    <w:p>
      <w:pPr>
        <w:spacing w:line="360" w:lineRule="auto"/>
        <w:ind w:firstLine="640" w:firstLineChars="200"/>
        <w:rPr>
          <w:rFonts w:hint="eastAsia" w:ascii="仿宋" w:hAnsi="仿宋" w:eastAsia="仿宋" w:cs="仿宋"/>
          <w:b w:val="0"/>
          <w:kern w:val="2"/>
          <w:sz w:val="32"/>
          <w:szCs w:val="32"/>
          <w:lang w:val="en-US" w:eastAsia="zh-CN" w:bidi="ar-SA"/>
        </w:rPr>
      </w:pPr>
      <w:r>
        <w:rPr>
          <w:rFonts w:hint="eastAsia" w:ascii="仿宋" w:hAnsi="仿宋" w:eastAsia="仿宋" w:cs="仿宋"/>
          <w:b w:val="0"/>
          <w:kern w:val="2"/>
          <w:sz w:val="32"/>
          <w:szCs w:val="32"/>
          <w:lang w:val="en-US" w:eastAsia="zh-CN" w:bidi="ar-SA"/>
        </w:rPr>
        <w:t>根据《西湖区文化广电新闻出版旅游局2020年部门预算批复表》为立项依据。因此，项目立项有据可依，具有规范性。</w:t>
      </w:r>
    </w:p>
    <w:p>
      <w:pPr>
        <w:spacing w:line="360" w:lineRule="auto"/>
        <w:ind w:firstLine="640" w:firstLineChars="200"/>
        <w:outlineLvl w:val="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（2）绩效目标</w:t>
      </w:r>
    </w:p>
    <w:p>
      <w:pPr>
        <w:spacing w:line="360" w:lineRule="auto"/>
        <w:ind w:firstLine="640" w:firstLineChars="200"/>
        <w:rPr>
          <w:rFonts w:hint="eastAsia" w:ascii="仿宋" w:hAnsi="仿宋" w:eastAsia="仿宋" w:cs="仿宋"/>
          <w:b w:val="0"/>
          <w:kern w:val="2"/>
          <w:sz w:val="32"/>
          <w:szCs w:val="32"/>
          <w:lang w:val="en-US" w:eastAsia="zh-CN" w:bidi="ar-SA"/>
        </w:rPr>
      </w:pPr>
      <w:r>
        <w:rPr>
          <w:rFonts w:hint="eastAsia" w:ascii="仿宋" w:hAnsi="仿宋" w:eastAsia="仿宋" w:cs="仿宋"/>
          <w:b w:val="0"/>
          <w:kern w:val="2"/>
          <w:sz w:val="32"/>
          <w:szCs w:val="32"/>
          <w:lang w:val="en-US" w:eastAsia="zh-CN" w:bidi="ar-SA"/>
        </w:rPr>
        <w:t>项目目标设定充分依据项目实际需求，目标和指标的设计符合项目管理规范;指标采取定量与定性相结合，通过清晰、可衡量的指标值将绩效目标反映出来，考核指标设立合理;项目预期产出效益和效果符合正常的工作水平，绩效指标具体可测性。</w:t>
      </w:r>
    </w:p>
    <w:p>
      <w:pPr>
        <w:numPr>
          <w:ilvl w:val="0"/>
          <w:numId w:val="1"/>
        </w:num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资金投入</w:t>
      </w:r>
    </w:p>
    <w:p>
      <w:pPr>
        <w:numPr>
          <w:ilvl w:val="0"/>
          <w:numId w:val="0"/>
        </w:num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该项目严格按照程序进行项目的预算申报，并根据项目实际需要和本年度计划工作内容，设定了绩效目标，且目标明确，与预算确定的项目投资额相匹配。</w:t>
      </w:r>
    </w:p>
    <w:p>
      <w:pPr>
        <w:spacing w:line="360" w:lineRule="auto"/>
        <w:ind w:firstLine="643" w:firstLineChars="200"/>
        <w:outlineLvl w:val="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（二）项目过程情况</w:t>
      </w:r>
    </w:p>
    <w:p>
      <w:pPr>
        <w:pStyle w:val="9"/>
        <w:spacing w:line="360" w:lineRule="auto"/>
        <w:ind w:left="0" w:leftChars="0"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（1）预算资金执行情况</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Times New Roman"/>
          <w:kern w:val="2"/>
          <w:sz w:val="32"/>
          <w:szCs w:val="32"/>
          <w:lang w:val="en-US" w:eastAsia="zh-CN" w:bidi="ar-SA"/>
        </w:rPr>
        <w:t>2020年度</w:t>
      </w:r>
      <w:r>
        <w:rPr>
          <w:rFonts w:hint="eastAsia" w:ascii="仿宋" w:hAnsi="仿宋" w:eastAsia="仿宋" w:cs="Times New Roman"/>
          <w:b w:val="0"/>
          <w:kern w:val="2"/>
          <w:sz w:val="32"/>
          <w:szCs w:val="32"/>
          <w:highlight w:val="none"/>
          <w:lang w:val="en-US" w:eastAsia="zh-CN" w:bidi="ar-SA"/>
        </w:rPr>
        <w:t>文化发展基金</w:t>
      </w:r>
      <w:r>
        <w:rPr>
          <w:rFonts w:hint="eastAsia" w:ascii="仿宋" w:hAnsi="仿宋" w:eastAsia="仿宋" w:cs="Times New Roman"/>
          <w:kern w:val="2"/>
          <w:sz w:val="32"/>
          <w:szCs w:val="32"/>
          <w:lang w:val="en-US" w:eastAsia="zh-CN" w:bidi="ar-SA"/>
        </w:rPr>
        <w:t>项目预70万元，专项资金到位70万元，实际支出70</w:t>
      </w:r>
      <w:r>
        <w:rPr>
          <w:rFonts w:hint="eastAsia" w:ascii="仿宋" w:hAnsi="仿宋" w:eastAsia="仿宋" w:cs="Times New Roman"/>
          <w:b w:val="0"/>
          <w:kern w:val="2"/>
          <w:sz w:val="32"/>
          <w:szCs w:val="32"/>
          <w:highlight w:val="none"/>
          <w:lang w:val="en-US" w:eastAsia="zh-CN" w:bidi="ar-SA"/>
        </w:rPr>
        <w:t>万元，预算资金执行率100%，</w:t>
      </w:r>
      <w:r>
        <w:rPr>
          <w:rFonts w:hint="eastAsia" w:ascii="仿宋" w:hAnsi="仿宋" w:eastAsia="仿宋" w:cs="Times New Roman"/>
          <w:kern w:val="2"/>
          <w:sz w:val="32"/>
          <w:szCs w:val="32"/>
          <w:lang w:val="en-US" w:eastAsia="zh-CN" w:bidi="ar-SA"/>
        </w:rPr>
        <w:t>用于文化发展</w:t>
      </w:r>
      <w:r>
        <w:rPr>
          <w:rFonts w:hint="eastAsia" w:ascii="仿宋" w:hAnsi="仿宋" w:eastAsia="仿宋" w:cs="仿宋"/>
          <w:kern w:val="2"/>
          <w:sz w:val="32"/>
          <w:szCs w:val="32"/>
          <w:lang w:val="en-US" w:eastAsia="zh-CN" w:bidi="ar-SA"/>
        </w:rPr>
        <w:t>。</w:t>
      </w:r>
    </w:p>
    <w:p>
      <w:pPr>
        <w:pStyle w:val="9"/>
        <w:numPr>
          <w:ilvl w:val="0"/>
          <w:numId w:val="2"/>
        </w:numPr>
        <w:spacing w:line="360" w:lineRule="auto"/>
        <w:ind w:left="0" w:leftChars="0"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资金使用管理</w:t>
      </w:r>
    </w:p>
    <w:p>
      <w:pPr>
        <w:pStyle w:val="9"/>
        <w:numPr>
          <w:ilvl w:val="0"/>
          <w:numId w:val="0"/>
        </w:num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SA"/>
        </w:rPr>
        <w:t>为进一步规范财务管理，提高经费使用效率，完善制约机制，保障旅游事业持续发展，根据国家现行财务法规和市财政局财务管理要求及制度，结合实际，制定财务管理规定。对所有经费实行“统一领导、集中管理”财务管理体制，经费支出实行分级预算审批制度，并遵循适度授权原则、严格预算原则。同时，严格执行专项资金管理制度，专项资金拨付本着专款专用的原则，严格执行项目资金批准的使用计划和项目批复程序，不挤占和挪用财政专项资金。专项资金报账要附真实、有效、合法的凭证，对专项资金进行定期和不定期检查，确保资金使用安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（3）组织实施</w:t>
      </w:r>
    </w:p>
    <w:p>
      <w:pPr>
        <w:pStyle w:val="5"/>
        <w:keepNext w:val="0"/>
        <w:keepLines w:val="0"/>
        <w:pageBreakBefore w:val="0"/>
        <w:numPr>
          <w:ilvl w:val="0"/>
          <w:numId w:val="0"/>
        </w:numPr>
        <w:kinsoku/>
        <w:wordWrap/>
        <w:overflowPunct/>
        <w:topLinePunct w:val="0"/>
        <w:autoSpaceDE/>
        <w:autoSpaceDN/>
        <w:bidi w:val="0"/>
        <w:spacing w:line="360" w:lineRule="auto"/>
        <w:ind w:firstLine="640" w:firstLineChars="200"/>
        <w:textAlignment w:val="auto"/>
        <w:rPr>
          <w:rFonts w:hint="eastAsia"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项目实施单位为保障资金的安全、规范运行采取了必要的监控措施。项目实施单位能够按照事前审核、事中追踪、事后问效的监督工作制度。确保财政性专项资金使用安全、规范、有效。能够执行各类财政性专项资金使用管理办法和制度，实行专人管理、专账核算、专款专用，确保资金支出的合法性、真实性，并建立、健全和完善专项资金内部管理制度。</w:t>
      </w:r>
    </w:p>
    <w:p>
      <w:pPr>
        <w:pStyle w:val="5"/>
        <w:keepNext w:val="0"/>
        <w:keepLines w:val="0"/>
        <w:pageBreakBefore w:val="0"/>
        <w:numPr>
          <w:ilvl w:val="0"/>
          <w:numId w:val="0"/>
        </w:numPr>
        <w:kinsoku/>
        <w:wordWrap/>
        <w:overflowPunct/>
        <w:topLinePunct w:val="0"/>
        <w:autoSpaceDE/>
        <w:autoSpaceDN/>
        <w:bidi w:val="0"/>
        <w:spacing w:line="360" w:lineRule="auto"/>
        <w:ind w:firstLine="643" w:firstLineChars="20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（三）项目产出情况</w:t>
      </w:r>
    </w:p>
    <w:p>
      <w:pPr>
        <w:pStyle w:val="9"/>
        <w:spacing w:line="360" w:lineRule="auto"/>
        <w:ind w:left="0" w:leftChars="0" w:firstLine="643" w:firstLineChars="20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（1）数量指标</w:t>
      </w:r>
    </w:p>
    <w:p>
      <w:pPr>
        <w:spacing w:line="360" w:lineRule="auto"/>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①举办文化活动15场次。</w:t>
      </w:r>
    </w:p>
    <w:p>
      <w:pPr>
        <w:spacing w:line="360" w:lineRule="auto"/>
        <w:ind w:firstLine="640" w:firstLineChars="200"/>
        <w:rPr>
          <w:rFonts w:ascii="仿宋_GB2312" w:hAnsi="宋体" w:eastAsia="仿宋_GB2312" w:cs="仿宋_GB2312"/>
          <w:sz w:val="32"/>
          <w:szCs w:val="32"/>
        </w:rPr>
      </w:pPr>
      <w:r>
        <w:rPr>
          <w:rFonts w:hint="eastAsia" w:ascii="仿宋" w:hAnsi="仿宋" w:eastAsia="仿宋"/>
          <w:color w:val="000000"/>
          <w:sz w:val="32"/>
          <w:szCs w:val="32"/>
          <w:lang w:val="en-US" w:eastAsia="zh-CN"/>
        </w:rPr>
        <w:t>②举办了4场群演活动。</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（2）质量指标</w:t>
      </w:r>
    </w:p>
    <w:p>
      <w:pPr>
        <w:spacing w:line="360" w:lineRule="auto"/>
        <w:ind w:firstLine="640" w:firstLineChars="200"/>
        <w:rPr>
          <w:rFonts w:hint="eastAsia" w:ascii="仿宋" w:hAnsi="仿宋" w:eastAsia="仿宋"/>
          <w:sz w:val="32"/>
          <w:szCs w:val="32"/>
          <w:lang w:eastAsia="zh-CN"/>
        </w:rPr>
      </w:pPr>
      <w:r>
        <w:rPr>
          <w:rFonts w:hint="eastAsia" w:ascii="仿宋" w:hAnsi="仿宋" w:eastAsia="仿宋"/>
          <w:color w:val="000000"/>
          <w:sz w:val="32"/>
          <w:szCs w:val="32"/>
          <w:lang w:eastAsia="zh-CN"/>
        </w:rPr>
        <w:t>①</w:t>
      </w:r>
      <w:r>
        <w:rPr>
          <w:rFonts w:hint="eastAsia" w:ascii="仿宋_GB2312" w:hAnsi="宋体" w:eastAsia="仿宋_GB2312"/>
          <w:sz w:val="32"/>
          <w:szCs w:val="32"/>
        </w:rPr>
        <w:t>由</w:t>
      </w:r>
      <w:r>
        <w:rPr>
          <w:rFonts w:hint="eastAsia" w:ascii="仿宋" w:hAnsi="仿宋" w:eastAsia="仿宋"/>
          <w:sz w:val="32"/>
          <w:szCs w:val="32"/>
        </w:rPr>
        <w:t>市级非物质文化遗产项目-</w:t>
      </w:r>
      <w:r>
        <w:rPr>
          <w:rFonts w:hint="eastAsia" w:ascii="仿宋" w:hAnsi="仿宋" w:eastAsia="仿宋"/>
          <w:sz w:val="32"/>
          <w:szCs w:val="32"/>
          <w:lang w:val="en-US" w:eastAsia="zh-CN"/>
        </w:rPr>
        <w:t>-</w:t>
      </w:r>
      <w:r>
        <w:rPr>
          <w:rFonts w:hint="eastAsia" w:ascii="仿宋" w:hAnsi="仿宋" w:eastAsia="仿宋"/>
          <w:sz w:val="32"/>
          <w:szCs w:val="32"/>
        </w:rPr>
        <w:t>-南昌道情的传承人、文化志愿者</w:t>
      </w:r>
      <w:r>
        <w:rPr>
          <w:rFonts w:hint="eastAsia" w:ascii="仿宋" w:hAnsi="仿宋" w:eastAsia="仿宋" w:cs="仿宋"/>
          <w:sz w:val="32"/>
          <w:szCs w:val="32"/>
        </w:rPr>
        <w:t>王斌，王菁菁和区文化馆的同志们一同</w:t>
      </w:r>
      <w:r>
        <w:rPr>
          <w:rFonts w:ascii="仿宋" w:hAnsi="仿宋" w:eastAsia="仿宋"/>
          <w:sz w:val="32"/>
          <w:szCs w:val="32"/>
        </w:rPr>
        <w:t>历时八天创作的南昌道情</w:t>
      </w:r>
      <w:r>
        <w:rPr>
          <w:rFonts w:hint="eastAsia" w:ascii="仿宋" w:hAnsi="仿宋" w:eastAsia="仿宋"/>
          <w:sz w:val="32"/>
          <w:szCs w:val="32"/>
        </w:rPr>
        <w:t>《西湖人民不怕险众志成城战疫情》，</w:t>
      </w:r>
      <w:r>
        <w:rPr>
          <w:rFonts w:ascii="仿宋" w:hAnsi="仿宋" w:eastAsia="仿宋"/>
          <w:sz w:val="32"/>
          <w:szCs w:val="32"/>
        </w:rPr>
        <w:t>于</w:t>
      </w:r>
      <w:r>
        <w:rPr>
          <w:rFonts w:hint="eastAsia" w:ascii="仿宋" w:hAnsi="仿宋" w:eastAsia="仿宋"/>
          <w:sz w:val="32"/>
          <w:szCs w:val="32"/>
        </w:rPr>
        <w:t>2月</w:t>
      </w:r>
      <w:r>
        <w:rPr>
          <w:rFonts w:ascii="仿宋" w:hAnsi="仿宋" w:eastAsia="仿宋"/>
          <w:sz w:val="32"/>
          <w:szCs w:val="32"/>
        </w:rPr>
        <w:t>13日</w:t>
      </w:r>
      <w:r>
        <w:rPr>
          <w:rFonts w:hint="eastAsia" w:ascii="仿宋" w:hAnsi="仿宋" w:eastAsia="仿宋"/>
          <w:sz w:val="32"/>
          <w:szCs w:val="32"/>
        </w:rPr>
        <w:t>顺利完成作品中</w:t>
      </w:r>
      <w:r>
        <w:rPr>
          <w:rFonts w:ascii="仿宋" w:hAnsi="仿宋" w:eastAsia="仿宋"/>
          <w:sz w:val="32"/>
          <w:szCs w:val="32"/>
        </w:rPr>
        <w:t>南昌方言说唱结合</w:t>
      </w:r>
      <w:r>
        <w:rPr>
          <w:rFonts w:hint="eastAsia" w:ascii="仿宋" w:hAnsi="仿宋" w:eastAsia="仿宋"/>
          <w:sz w:val="32"/>
          <w:szCs w:val="32"/>
        </w:rPr>
        <w:t>，节奏明快、通俗易懂，</w:t>
      </w:r>
      <w:r>
        <w:rPr>
          <w:rFonts w:ascii="仿宋" w:hAnsi="仿宋" w:eastAsia="仿宋"/>
          <w:sz w:val="32"/>
          <w:szCs w:val="32"/>
        </w:rPr>
        <w:t>以民间特有的</w:t>
      </w:r>
      <w:r>
        <w:rPr>
          <w:rFonts w:hint="eastAsia" w:ascii="仿宋" w:hAnsi="仿宋" w:eastAsia="仿宋"/>
          <w:sz w:val="32"/>
          <w:szCs w:val="32"/>
        </w:rPr>
        <w:t>“三响”</w:t>
      </w:r>
      <w:r>
        <w:rPr>
          <w:rFonts w:ascii="仿宋" w:hAnsi="仿宋" w:eastAsia="仿宋"/>
          <w:sz w:val="32"/>
          <w:szCs w:val="32"/>
        </w:rPr>
        <w:t>演唱方式</w:t>
      </w:r>
      <w:r>
        <w:rPr>
          <w:rFonts w:hint="eastAsia" w:ascii="仿宋" w:hAnsi="仿宋" w:eastAsia="仿宋"/>
          <w:sz w:val="32"/>
          <w:szCs w:val="32"/>
        </w:rPr>
        <w:t>，生动</w:t>
      </w:r>
      <w:r>
        <w:rPr>
          <w:rFonts w:ascii="仿宋" w:hAnsi="仿宋" w:eastAsia="仿宋"/>
          <w:sz w:val="32"/>
          <w:szCs w:val="32"/>
        </w:rPr>
        <w:t>表达出西湖区万众一心</w:t>
      </w:r>
      <w:r>
        <w:rPr>
          <w:rFonts w:hint="eastAsia" w:ascii="仿宋" w:hAnsi="仿宋" w:eastAsia="仿宋"/>
          <w:sz w:val="32"/>
          <w:szCs w:val="32"/>
        </w:rPr>
        <w:t>、</w:t>
      </w:r>
      <w:r>
        <w:rPr>
          <w:rFonts w:ascii="仿宋" w:hAnsi="仿宋" w:eastAsia="仿宋"/>
          <w:sz w:val="32"/>
          <w:szCs w:val="32"/>
        </w:rPr>
        <w:t>抗击疫情的决心</w:t>
      </w:r>
      <w:r>
        <w:rPr>
          <w:rFonts w:hint="eastAsia" w:ascii="仿宋" w:hAnsi="仿宋" w:eastAsia="仿宋"/>
          <w:sz w:val="32"/>
          <w:szCs w:val="32"/>
          <w:lang w:eastAsia="zh-CN"/>
        </w:rPr>
        <w:t>。</w:t>
      </w:r>
    </w:p>
    <w:p>
      <w:pPr>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②</w:t>
      </w:r>
      <w:r>
        <w:rPr>
          <w:rFonts w:hint="eastAsia" w:ascii="仿宋" w:hAnsi="仿宋" w:eastAsia="仿宋"/>
          <w:sz w:val="32"/>
          <w:szCs w:val="32"/>
        </w:rPr>
        <w:t>由</w:t>
      </w:r>
      <w:r>
        <w:rPr>
          <w:rFonts w:hint="eastAsia" w:ascii="仿宋_GB2312" w:hAnsi="宋体" w:eastAsia="仿宋_GB2312"/>
          <w:sz w:val="32"/>
          <w:szCs w:val="32"/>
        </w:rPr>
        <w:t>西湖区文化馆文化志愿者王站温携手老搭档张轲共同创作的一首原创作品《我们在一起》，由张轲老师作曲，王战温老师萨克斯演奏。</w:t>
      </w:r>
    </w:p>
    <w:p>
      <w:pPr>
        <w:pStyle w:val="5"/>
        <w:keepNext w:val="0"/>
        <w:keepLines w:val="0"/>
        <w:pageBreakBefore w:val="0"/>
        <w:numPr>
          <w:ilvl w:val="0"/>
          <w:numId w:val="0"/>
        </w:numPr>
        <w:kinsoku/>
        <w:wordWrap/>
        <w:overflowPunct/>
        <w:topLinePunct w:val="0"/>
        <w:autoSpaceDE/>
        <w:autoSpaceDN/>
        <w:bidi w:val="0"/>
        <w:spacing w:line="360" w:lineRule="auto"/>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3</w:t>
      </w:r>
      <w:r>
        <w:rPr>
          <w:rFonts w:hint="eastAsia" w:ascii="仿宋" w:hAnsi="仿宋" w:eastAsia="仿宋" w:cs="仿宋"/>
          <w:b/>
          <w:bCs/>
          <w:sz w:val="32"/>
          <w:szCs w:val="32"/>
          <w:lang w:eastAsia="zh-CN"/>
        </w:rPr>
        <w:t>）时效指标</w:t>
      </w:r>
    </w:p>
    <w:p>
      <w:pPr>
        <w:spacing w:line="360" w:lineRule="auto"/>
        <w:ind w:firstLine="640" w:firstLineChars="200"/>
        <w:rPr>
          <w:rFonts w:ascii="仿宋_GB2312" w:hAnsi="仿宋_GB2312" w:eastAsia="仿宋_GB2312"/>
          <w:sz w:val="32"/>
          <w:szCs w:val="22"/>
        </w:rPr>
      </w:pPr>
      <w:bookmarkStart w:id="1" w:name="_Hlk68875596"/>
      <w:r>
        <w:rPr>
          <w:rFonts w:hint="eastAsia" w:ascii="仿宋" w:hAnsi="仿宋" w:eastAsia="仿宋"/>
          <w:color w:val="000000"/>
          <w:sz w:val="32"/>
          <w:szCs w:val="32"/>
          <w:lang w:eastAsia="zh-CN"/>
        </w:rPr>
        <w:t>文化活动举办</w:t>
      </w:r>
      <w:r>
        <w:rPr>
          <w:rFonts w:hint="eastAsia" w:ascii="仿宋" w:hAnsi="仿宋" w:eastAsia="仿宋"/>
          <w:color w:val="000000"/>
          <w:sz w:val="32"/>
          <w:szCs w:val="32"/>
        </w:rPr>
        <w:t>及时率100%</w:t>
      </w:r>
      <w:bookmarkEnd w:id="1"/>
      <w:r>
        <w:rPr>
          <w:rFonts w:hint="eastAsia" w:ascii="仿宋" w:hAnsi="仿宋" w:eastAsia="仿宋"/>
          <w:color w:val="000000"/>
          <w:sz w:val="32"/>
          <w:szCs w:val="32"/>
        </w:rPr>
        <w:t>。</w:t>
      </w:r>
    </w:p>
    <w:p>
      <w:pPr>
        <w:numPr>
          <w:ilvl w:val="0"/>
          <w:numId w:val="0"/>
        </w:numPr>
        <w:spacing w:line="360" w:lineRule="auto"/>
        <w:ind w:firstLine="643" w:firstLineChars="20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（4）成本效益</w:t>
      </w:r>
    </w:p>
    <w:p>
      <w:pPr>
        <w:pStyle w:val="9"/>
        <w:spacing w:line="360" w:lineRule="auto"/>
        <w:ind w:left="0" w:leftChars="0" w:firstLine="640" w:firstLineChars="200"/>
        <w:rPr>
          <w:rFonts w:hint="eastAsia"/>
        </w:rPr>
      </w:pPr>
      <w:r>
        <w:rPr>
          <w:rFonts w:hint="eastAsia" w:ascii="仿宋" w:hAnsi="仿宋" w:eastAsia="仿宋" w:cs="Times New Roman"/>
          <w:b w:val="0"/>
          <w:kern w:val="2"/>
          <w:sz w:val="32"/>
          <w:szCs w:val="32"/>
          <w:highlight w:val="none"/>
          <w:lang w:val="en-US" w:eastAsia="zh-CN" w:bidi="ar-SA"/>
        </w:rPr>
        <w:t>文化发展基金</w:t>
      </w:r>
      <w:r>
        <w:rPr>
          <w:rFonts w:hint="eastAsia" w:ascii="仿宋" w:hAnsi="仿宋" w:eastAsia="仿宋" w:cs="Times New Roman"/>
          <w:kern w:val="2"/>
          <w:sz w:val="32"/>
          <w:szCs w:val="32"/>
          <w:lang w:val="en-US" w:eastAsia="zh-CN" w:bidi="ar-SA"/>
        </w:rPr>
        <w:t>项目预算70万元，专项资金到位70万元，实际支出70</w:t>
      </w:r>
      <w:r>
        <w:rPr>
          <w:rFonts w:hint="eastAsia" w:ascii="仿宋" w:hAnsi="仿宋" w:eastAsia="仿宋" w:cs="Times New Roman"/>
          <w:b w:val="0"/>
          <w:kern w:val="2"/>
          <w:sz w:val="32"/>
          <w:szCs w:val="32"/>
          <w:highlight w:val="none"/>
          <w:lang w:val="en-US" w:eastAsia="zh-CN" w:bidi="ar-SA"/>
        </w:rPr>
        <w:t>万元，预算资金执行率100%</w:t>
      </w:r>
      <w:r>
        <w:rPr>
          <w:rFonts w:hint="eastAsia" w:ascii="仿宋" w:hAnsi="仿宋" w:eastAsia="仿宋" w:cs="Times New Roman"/>
          <w:kern w:val="2"/>
          <w:sz w:val="32"/>
          <w:szCs w:val="32"/>
          <w:lang w:val="en-US" w:eastAsia="zh-CN" w:bidi="ar-SA"/>
        </w:rPr>
        <w:t>。</w:t>
      </w:r>
      <w:r>
        <w:rPr>
          <w:rFonts w:hint="eastAsia" w:ascii="仿宋" w:hAnsi="仿宋" w:eastAsia="仿宋" w:cs="仿宋"/>
          <w:kern w:val="2"/>
          <w:sz w:val="32"/>
          <w:szCs w:val="32"/>
          <w:lang w:val="en-US" w:eastAsia="zh-CN" w:bidi="ar-SA"/>
        </w:rPr>
        <w:t>该项目实际支出金额均控制在预算范围内。</w:t>
      </w:r>
    </w:p>
    <w:p>
      <w:pPr>
        <w:pStyle w:val="5"/>
        <w:keepNext w:val="0"/>
        <w:keepLines w:val="0"/>
        <w:pageBreakBefore w:val="0"/>
        <w:numPr>
          <w:ilvl w:val="0"/>
          <w:numId w:val="0"/>
        </w:numPr>
        <w:kinsoku/>
        <w:wordWrap/>
        <w:overflowPunct/>
        <w:topLinePunct w:val="0"/>
        <w:autoSpaceDE/>
        <w:autoSpaceDN/>
        <w:bidi w:val="0"/>
        <w:spacing w:line="360" w:lineRule="auto"/>
        <w:ind w:firstLine="643" w:firstLineChars="20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（四）项目效益情况。</w:t>
      </w:r>
    </w:p>
    <w:p>
      <w:pPr>
        <w:pStyle w:val="5"/>
        <w:keepNext w:val="0"/>
        <w:keepLines w:val="0"/>
        <w:pageBreakBefore w:val="0"/>
        <w:numPr>
          <w:ilvl w:val="0"/>
          <w:numId w:val="0"/>
        </w:numPr>
        <w:kinsoku/>
        <w:wordWrap/>
        <w:overflowPunct/>
        <w:topLinePunct w:val="0"/>
        <w:autoSpaceDE/>
        <w:autoSpaceDN/>
        <w:bidi w:val="0"/>
        <w:spacing w:line="360" w:lineRule="auto"/>
        <w:ind w:firstLine="643" w:firstLineChars="20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（1）经济效益</w:t>
      </w:r>
    </w:p>
    <w:p>
      <w:pPr>
        <w:pStyle w:val="9"/>
        <w:spacing w:line="360" w:lineRule="auto"/>
        <w:ind w:left="0" w:leftChars="0" w:firstLine="64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通过西湖区微信公众号、西湖区文化馆微信公众号、江西日报等媒体发布活动内容。</w:t>
      </w:r>
    </w:p>
    <w:p>
      <w:pPr>
        <w:pStyle w:val="9"/>
        <w:spacing w:line="360" w:lineRule="auto"/>
        <w:ind w:left="0" w:leftChars="0" w:firstLine="643" w:firstLineChars="20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（2）社会效益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在注重传统文化传插的基础上，2020年南昌市西湖区文化馆群众文化活动在策划上将更注重群众艺术的互动感与仪式感，提升和传播西湖区文化馆的影响力。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Times New Roman"/>
          <w:b/>
          <w:bCs/>
          <w:kern w:val="2"/>
          <w:sz w:val="32"/>
          <w:szCs w:val="32"/>
          <w:lang w:val="en-US" w:eastAsia="zh-CN" w:bidi="ar-SA"/>
        </w:rPr>
      </w:pPr>
      <w:r>
        <w:rPr>
          <w:rFonts w:hint="eastAsia" w:ascii="仿宋" w:hAnsi="仿宋" w:eastAsia="仿宋" w:cs="Times New Roman"/>
          <w:kern w:val="2"/>
          <w:sz w:val="32"/>
          <w:szCs w:val="32"/>
          <w:lang w:val="en-US" w:eastAsia="zh-CN" w:bidi="ar-SA"/>
        </w:rPr>
        <w:t>（3）</w:t>
      </w:r>
      <w:r>
        <w:rPr>
          <w:rFonts w:hint="eastAsia" w:ascii="仿宋" w:hAnsi="仿宋" w:eastAsia="仿宋" w:cs="Times New Roman"/>
          <w:b/>
          <w:bCs/>
          <w:kern w:val="2"/>
          <w:sz w:val="32"/>
          <w:szCs w:val="32"/>
          <w:lang w:val="en-US" w:eastAsia="zh-CN" w:bidi="ar-SA"/>
        </w:rPr>
        <w:t>可持续影响指标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着眼满足人民群众精神文化生活新期待，丰富人民群众精神生活，以高质量文化供给增强人们的文化获得感幸福感。</w:t>
      </w:r>
    </w:p>
    <w:p>
      <w:pPr>
        <w:pStyle w:val="5"/>
        <w:keepNext w:val="0"/>
        <w:keepLines w:val="0"/>
        <w:pageBreakBefore w:val="0"/>
        <w:numPr>
          <w:ilvl w:val="0"/>
          <w:numId w:val="0"/>
        </w:numPr>
        <w:kinsoku/>
        <w:wordWrap/>
        <w:overflowPunct/>
        <w:topLinePunct w:val="0"/>
        <w:autoSpaceDE/>
        <w:autoSpaceDN/>
        <w:bidi w:val="0"/>
        <w:spacing w:line="360" w:lineRule="auto"/>
        <w:ind w:firstLine="643" w:firstLineChars="20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（4）社会公众或服务对象满意度</w:t>
      </w:r>
    </w:p>
    <w:p>
      <w:pPr>
        <w:pStyle w:val="5"/>
        <w:keepNext w:val="0"/>
        <w:keepLines w:val="0"/>
        <w:pageBreakBefore w:val="0"/>
        <w:numPr>
          <w:ilvl w:val="0"/>
          <w:numId w:val="0"/>
        </w:numPr>
        <w:kinsoku/>
        <w:wordWrap/>
        <w:overflowPunct/>
        <w:topLinePunct w:val="0"/>
        <w:autoSpaceDE/>
        <w:autoSpaceDN/>
        <w:bidi w:val="0"/>
        <w:spacing w:line="360" w:lineRule="auto"/>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b w:val="0"/>
          <w:bCs w:val="0"/>
          <w:kern w:val="2"/>
          <w:sz w:val="32"/>
          <w:szCs w:val="32"/>
          <w:lang w:val="en-US" w:eastAsia="zh-CN" w:bidi="ar-SA"/>
        </w:rPr>
        <w:t>通过问卷调查统计，群众</w:t>
      </w:r>
      <w:r>
        <w:rPr>
          <w:rFonts w:hint="eastAsia" w:ascii="仿宋" w:hAnsi="仿宋" w:eastAsia="仿宋" w:cs="仿宋"/>
          <w:kern w:val="2"/>
          <w:sz w:val="32"/>
          <w:szCs w:val="32"/>
          <w:lang w:val="en-US" w:eastAsia="zh-CN" w:bidi="ar-SA"/>
        </w:rPr>
        <w:t>满意度98%以上。</w:t>
      </w:r>
    </w:p>
    <w:p>
      <w:pPr>
        <w:pStyle w:val="5"/>
        <w:keepNext w:val="0"/>
        <w:keepLines w:val="0"/>
        <w:pageBreakBefore w:val="0"/>
        <w:numPr>
          <w:ilvl w:val="0"/>
          <w:numId w:val="0"/>
        </w:numPr>
        <w:kinsoku/>
        <w:wordWrap/>
        <w:overflowPunct/>
        <w:topLinePunct w:val="0"/>
        <w:autoSpaceDE/>
        <w:autoSpaceDN/>
        <w:bidi w:val="0"/>
        <w:spacing w:line="360" w:lineRule="auto"/>
        <w:ind w:firstLine="643" w:firstLineChars="20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五、主要经验及做法、存在的问题及原因分析</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2020年，各项工作虽然取得了好的成绩，但是仍然存在一些有待提高的问题，受疫情影响，群众文化活动数量有所减少，群众文化质量上有所提升，但亮点不够。</w:t>
      </w:r>
    </w:p>
    <w:p>
      <w:pPr>
        <w:spacing w:line="360" w:lineRule="auto"/>
        <w:ind w:firstLine="643" w:firstLineChars="20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六、有关建议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 w:hAnsi="仿宋" w:eastAsia="仿宋" w:cs="仿宋"/>
          <w:b w:val="0"/>
          <w:kern w:val="2"/>
          <w:sz w:val="32"/>
          <w:szCs w:val="32"/>
          <w:lang w:val="en-US" w:eastAsia="zh-CN" w:bidi="ar-SA"/>
        </w:rPr>
      </w:pPr>
      <w:r>
        <w:rPr>
          <w:rFonts w:hint="eastAsia" w:ascii="仿宋" w:hAnsi="仿宋" w:eastAsia="仿宋" w:cs="仿宋"/>
          <w:sz w:val="32"/>
          <w:szCs w:val="32"/>
        </w:rPr>
        <w:t>结合“新时代文明实践”进基层工作要求，开展丰富多彩的群众文化活动</w:t>
      </w:r>
      <w:r>
        <w:rPr>
          <w:rFonts w:hint="eastAsia" w:ascii="仿宋" w:hAnsi="仿宋" w:eastAsia="仿宋" w:cs="仿宋"/>
          <w:kern w:val="2"/>
          <w:sz w:val="32"/>
          <w:szCs w:val="32"/>
          <w:lang w:val="en-US" w:eastAsia="zh-CN" w:bidi="ar-SA"/>
        </w:rPr>
        <w:t>。</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七、其他需要说明的问题</w:t>
      </w:r>
    </w:p>
    <w:p>
      <w:pPr>
        <w:pStyle w:val="9"/>
        <w:spacing w:line="360" w:lineRule="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无</w:t>
      </w:r>
    </w:p>
    <w:p>
      <w:pPr>
        <w:pStyle w:val="9"/>
        <w:spacing w:line="360" w:lineRule="auto"/>
        <w:ind w:left="0" w:leftChars="0" w:firstLine="0" w:firstLineChars="0"/>
        <w:rPr>
          <w:rFonts w:hint="eastAsia" w:ascii="仿宋" w:hAnsi="仿宋" w:eastAsia="仿宋" w:cs="仿宋"/>
          <w:kern w:val="2"/>
          <w:sz w:val="32"/>
          <w:szCs w:val="32"/>
          <w:lang w:val="en-US" w:eastAsia="zh-CN" w:bidi="ar-SA"/>
        </w:rPr>
        <w:sectPr>
          <w:headerReference r:id="rId3" w:type="default"/>
          <w:footerReference r:id="rId4" w:type="default"/>
          <w:pgSz w:w="11906" w:h="16838"/>
          <w:pgMar w:top="1418" w:right="1418" w:bottom="1418" w:left="1418" w:header="851" w:footer="992" w:gutter="0"/>
          <w:cols w:space="720" w:num="1"/>
          <w:docGrid w:type="lines" w:linePitch="312" w:charSpace="0"/>
        </w:sectPr>
      </w:pPr>
    </w:p>
    <w:p>
      <w:pPr>
        <w:spacing w:line="360" w:lineRule="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27961"/>
    <w:multiLevelType w:val="singleLevel"/>
    <w:tmpl w:val="84527961"/>
    <w:lvl w:ilvl="0" w:tentative="0">
      <w:start w:val="2"/>
      <w:numFmt w:val="decimal"/>
      <w:suff w:val="nothing"/>
      <w:lvlText w:val="（%1）"/>
      <w:lvlJc w:val="left"/>
    </w:lvl>
  </w:abstractNum>
  <w:abstractNum w:abstractNumId="1">
    <w:nsid w:val="6E7D0D7B"/>
    <w:multiLevelType w:val="singleLevel"/>
    <w:tmpl w:val="6E7D0D7B"/>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2E1E55"/>
    <w:rsid w:val="008D2004"/>
    <w:rsid w:val="01035C69"/>
    <w:rsid w:val="016B73FA"/>
    <w:rsid w:val="021144D0"/>
    <w:rsid w:val="027A04E0"/>
    <w:rsid w:val="02B65DDA"/>
    <w:rsid w:val="038E44E3"/>
    <w:rsid w:val="054C11F7"/>
    <w:rsid w:val="06E24A60"/>
    <w:rsid w:val="06F272CE"/>
    <w:rsid w:val="06FA221F"/>
    <w:rsid w:val="0B284B6B"/>
    <w:rsid w:val="0DA55F66"/>
    <w:rsid w:val="0E374CA2"/>
    <w:rsid w:val="0E9B7B8B"/>
    <w:rsid w:val="0F971FE4"/>
    <w:rsid w:val="12334BD3"/>
    <w:rsid w:val="126A3075"/>
    <w:rsid w:val="126B39F7"/>
    <w:rsid w:val="12E2180E"/>
    <w:rsid w:val="1607552C"/>
    <w:rsid w:val="16481A05"/>
    <w:rsid w:val="16777A8C"/>
    <w:rsid w:val="168A35A0"/>
    <w:rsid w:val="18D06FAC"/>
    <w:rsid w:val="18E17A7F"/>
    <w:rsid w:val="18FB196D"/>
    <w:rsid w:val="191F0AFE"/>
    <w:rsid w:val="19B12EEB"/>
    <w:rsid w:val="1A3B245A"/>
    <w:rsid w:val="1BB42F33"/>
    <w:rsid w:val="1CE7762E"/>
    <w:rsid w:val="1DE238EE"/>
    <w:rsid w:val="1DF22BD8"/>
    <w:rsid w:val="1E2A3C5F"/>
    <w:rsid w:val="1E650B25"/>
    <w:rsid w:val="1F8A45F6"/>
    <w:rsid w:val="1F983356"/>
    <w:rsid w:val="20297616"/>
    <w:rsid w:val="238B3431"/>
    <w:rsid w:val="24E02CAB"/>
    <w:rsid w:val="298C57E5"/>
    <w:rsid w:val="2A1F4B65"/>
    <w:rsid w:val="2B20699C"/>
    <w:rsid w:val="2C2177E5"/>
    <w:rsid w:val="2C77621F"/>
    <w:rsid w:val="2DA838DA"/>
    <w:rsid w:val="2E3C4F95"/>
    <w:rsid w:val="2EEA0226"/>
    <w:rsid w:val="3096519B"/>
    <w:rsid w:val="311A4411"/>
    <w:rsid w:val="3310571E"/>
    <w:rsid w:val="356D1823"/>
    <w:rsid w:val="36355C0D"/>
    <w:rsid w:val="36896435"/>
    <w:rsid w:val="39564358"/>
    <w:rsid w:val="3BE437CD"/>
    <w:rsid w:val="3D143418"/>
    <w:rsid w:val="3EA61677"/>
    <w:rsid w:val="3F0B3282"/>
    <w:rsid w:val="3F995AC9"/>
    <w:rsid w:val="402E2197"/>
    <w:rsid w:val="432E1E55"/>
    <w:rsid w:val="459E73CE"/>
    <w:rsid w:val="45A703AC"/>
    <w:rsid w:val="48BB7D9E"/>
    <w:rsid w:val="4934042B"/>
    <w:rsid w:val="498345C1"/>
    <w:rsid w:val="49953DEA"/>
    <w:rsid w:val="49D308AF"/>
    <w:rsid w:val="4E15335C"/>
    <w:rsid w:val="4F8022C7"/>
    <w:rsid w:val="509B012E"/>
    <w:rsid w:val="51432589"/>
    <w:rsid w:val="517777E1"/>
    <w:rsid w:val="52704A2B"/>
    <w:rsid w:val="53153351"/>
    <w:rsid w:val="53EC543A"/>
    <w:rsid w:val="53F03083"/>
    <w:rsid w:val="54B71D9C"/>
    <w:rsid w:val="57045559"/>
    <w:rsid w:val="5A272F77"/>
    <w:rsid w:val="5A274050"/>
    <w:rsid w:val="5A750017"/>
    <w:rsid w:val="5BDB2479"/>
    <w:rsid w:val="5C01446E"/>
    <w:rsid w:val="5E2265A9"/>
    <w:rsid w:val="5E726C7C"/>
    <w:rsid w:val="5F4F55D0"/>
    <w:rsid w:val="5FB71C99"/>
    <w:rsid w:val="602C1947"/>
    <w:rsid w:val="60510C97"/>
    <w:rsid w:val="61515A67"/>
    <w:rsid w:val="61E900F8"/>
    <w:rsid w:val="61F669E9"/>
    <w:rsid w:val="62C16AB8"/>
    <w:rsid w:val="62E26247"/>
    <w:rsid w:val="632503DD"/>
    <w:rsid w:val="63482759"/>
    <w:rsid w:val="651509C0"/>
    <w:rsid w:val="690C0E6A"/>
    <w:rsid w:val="6B8E7875"/>
    <w:rsid w:val="6CDF1141"/>
    <w:rsid w:val="6E001E5D"/>
    <w:rsid w:val="6E3A5DF6"/>
    <w:rsid w:val="6E3F1B44"/>
    <w:rsid w:val="6E6632EE"/>
    <w:rsid w:val="6E781820"/>
    <w:rsid w:val="6E8C627A"/>
    <w:rsid w:val="701D76DE"/>
    <w:rsid w:val="703854A6"/>
    <w:rsid w:val="711336C3"/>
    <w:rsid w:val="71173E18"/>
    <w:rsid w:val="7324342C"/>
    <w:rsid w:val="73C92209"/>
    <w:rsid w:val="749C4551"/>
    <w:rsid w:val="75C14429"/>
    <w:rsid w:val="76C31ED7"/>
    <w:rsid w:val="770D1BD2"/>
    <w:rsid w:val="77893CAD"/>
    <w:rsid w:val="778B2205"/>
    <w:rsid w:val="78B36CB1"/>
    <w:rsid w:val="78F06F55"/>
    <w:rsid w:val="7A3A5312"/>
    <w:rsid w:val="7BB70127"/>
    <w:rsid w:val="7BCC0AE9"/>
    <w:rsid w:val="7C446C7B"/>
    <w:rsid w:val="7C4C581B"/>
    <w:rsid w:val="7D5E124D"/>
    <w:rsid w:val="7DBB07B6"/>
    <w:rsid w:val="7E1C2D09"/>
    <w:rsid w:val="7EF275FA"/>
    <w:rsid w:val="7EFD1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rPr>
      <w:b/>
    </w:rPr>
  </w:style>
  <w:style w:type="paragraph" w:styleId="4">
    <w:name w:val="caption"/>
    <w:basedOn w:val="1"/>
    <w:next w:val="1"/>
    <w:semiHidden/>
    <w:unhideWhenUsed/>
    <w:qFormat/>
    <w:uiPriority w:val="0"/>
    <w:rPr>
      <w:rFonts w:ascii="Arial" w:hAnsi="Arial" w:eastAsia="黑体"/>
      <w:sz w:val="20"/>
    </w:rPr>
  </w:style>
  <w:style w:type="paragraph" w:styleId="5">
    <w:name w:val="Plain Text"/>
    <w:basedOn w:val="1"/>
    <w:unhideWhenUsed/>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2"/>
    <w:basedOn w:val="1"/>
    <w:qFormat/>
    <w:uiPriority w:val="99"/>
    <w:pPr>
      <w:widowControl w:val="0"/>
      <w:ind w:left="420" w:leftChars="200" w:firstLine="420" w:firstLineChars="200"/>
      <w:jc w:val="both"/>
    </w:pPr>
    <w:rPr>
      <w:rFonts w:ascii="Times New Roman" w:hAnsi="Times New Roman" w:eastAsia="仿宋_GB2312" w:cs="Times New Roman"/>
      <w:kern w:val="2"/>
      <w:sz w:val="30"/>
      <w:szCs w:val="30"/>
      <w:lang w:val="en-US" w:eastAsia="zh-CN" w:bidi="ar-SA"/>
    </w:rPr>
  </w:style>
  <w:style w:type="paragraph" w:customStyle="1" w:styleId="12">
    <w:name w:val="Body Text First Indent 21"/>
    <w:qFormat/>
    <w:uiPriority w:val="0"/>
    <w:pPr>
      <w:framePr w:wrap="around" w:vAnchor="margin" w:hAnchor="text" w:y="1"/>
      <w:widowControl w:val="0"/>
      <w:ind w:left="420" w:firstLine="210"/>
      <w:jc w:val="both"/>
    </w:pPr>
    <w:rPr>
      <w:rFonts w:ascii="Calibri" w:hAnsi="Calibri" w:eastAsia="Times New Roman" w:cs="Calibri"/>
      <w:color w:val="000000"/>
      <w:kern w:val="2"/>
      <w:sz w:val="21"/>
      <w:szCs w:val="21"/>
      <w:lang w:val="en-US" w:eastAsia="zh-CN" w:bidi="ar-SA"/>
    </w:rPr>
  </w:style>
  <w:style w:type="paragraph" w:styleId="13">
    <w:name w:val="List Paragraph"/>
    <w:basedOn w:val="1"/>
    <w:qFormat/>
    <w:uiPriority w:val="34"/>
    <w:pPr>
      <w:ind w:firstLine="420" w:firstLineChars="200"/>
    </w:pPr>
  </w:style>
  <w:style w:type="paragraph" w:customStyle="1" w:styleId="14">
    <w:name w:val="无间隔1"/>
    <w:qFormat/>
    <w:uiPriority w:val="1"/>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2021-03-25T03:27:00Z</dcterms:created>
  <dc:creator>Aallot</dc:creator>
  <cp:lastModifiedBy>小明</cp:lastModifiedBy>
  <dcterms:modified xsi:type="dcterms:W3CDTF">2021-06-09T03:14:46Z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2DBE397F7ECB4134B4DC19AC1EC910D9</vt:lpwstr>
  </property>
</Properties>
</file>