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333333"/>
          <w:spacing w:val="0"/>
          <w:sz w:val="44"/>
          <w:szCs w:val="44"/>
          <w:bdr w:val="none" w:color="auto" w:sz="0" w:space="0"/>
          <w:shd w:val="clear" w:fill="FFFFFF"/>
        </w:rPr>
        <w:t>南昌市西湖区西湖街道人保所2019年部门预算草案编制说明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866"/>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333333"/>
          <w:spacing w:val="0"/>
          <w:kern w:val="0"/>
          <w:sz w:val="44"/>
          <w:szCs w:val="44"/>
          <w:bdr w:val="none" w:color="auto" w:sz="0" w:space="0"/>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第一部分  南昌市西湖区西湖街道人保所概况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二、部门2019年主要工作任务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三、部门基本情况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第二部分  南昌市西湖区西湖街道人保所2019年部门预算情况说明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一、部门预算收支情况说明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三、局本级及所属单位预算草案的具体说明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第三部分  南昌市西湖区西湖街道人保所2019年部门预算表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二、《部门收入总表》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三、《部门支出总表》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四、《财政拨款收支总表》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七、《一般公共预算“三公”经费支出表》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八、《政府性基金预算支出表》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第一部分  南昌市西湖区西湖街道人保所概况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一、部门主要职能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基本职能：南昌市西湖区西湖街道人力资源和社会保障服务所是社保局乡镇或者街道办一级的设置的基层机构。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其主要职责：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（一）宣传贯彻国家、省、市有关劳动保障工作的方针、政策和法规，承担辖区内人力资源社会保障服务工作的组织实施。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（二）根据国家政策、法规，搞好城乡统筹就业，发展劳务经济，做好农村富余劳动力转移就业、农村劳动力职业技能培训和新型农村社会养老保险试点工作。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（三）为城乡求职人员提供“一站式”服务。免费开展失业登记、求职登记、职业指导、职业介绍、培训申请、鉴定申请、人力资源社会保障事务代理等服务。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四）配合有关部门落实就业再就业政策。积极开发乡镇、街道、社区就业岗位，拓宽就业渠道。开展城乡就业培训，做好《就业失业登记证》核发管理工作，为自谋职业、自主创业的下岗失业人员、大中专毕业生、农民工等申请小额担保贷款办理有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（五）及时接收、管理社区退休人员，提供社会保险查询服务，开展领取养老金资格认证工作。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（六）配合劳动保障监察部门监督检查劳动保障法律、法规的落实情况。督促本辖区用人单位参加各种社会保险并按时缴纳社会保险费。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（七）做好基础管理工作，搞好劳动保障各项统计工作。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（八）承办县（区）人力资源社会保障部门交办的其他工作任务。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479" w:right="0" w:firstLine="14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二、部门2018 年主要工作任务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（一）为城乡求职人员提供“一站式”服务。免费开展失业登记、求职登记、职业指导、职业介绍、培训申请、鉴定申请、人力资源社会保障事务代理等服务。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配合有关部门落实就业再就业政策。积极开发乡镇、街道、社区就业岗位，拓宽就业渠道。开展城乡就业培训，做好《就业失业登记证》核发管理工作，为自谋职业、自主创业的下岗失业人员、大中专毕业生、农民工等申请小额担保贷款办理有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（三）及时接收、管理社区退休人员，提供社会保险查询服务，开展领取养老金资格认证工作。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（四）配合劳动保障监察部门监督检查劳动保障法律、法规的落实情况。督促本辖区用人单位参加各种社会保险并按时缴纳社会保险费。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479"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（五）做好基础管理工作，搞好劳动保障各项统计工作。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479"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三、部门基本情况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西湖街道人保所共有预算单位1 个，编制人数7人，其中：全部补助事业编制7人；实有人数14人，其中：在职人数14人，包括全部补助事业人员5人；退休人员1 人；临时工9人。</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第二部分  南昌市西湖区西湖街道人保所2019年部门预算情况说明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一、部门预算收支情况说明</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br w:type="textWrapping"/>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（一）收入预算情况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2019年收入预算</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93.25</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万元。其中：财政拨款</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88.31 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万元，上年结转</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4.94</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万元，包括财政拨款结余</w:t>
      </w:r>
      <w:r>
        <w:rPr>
          <w:rFonts w:hint="eastAsia" w:ascii="宋体" w:hAnsi="宋体" w:eastAsia="宋体" w:cs="宋体"/>
          <w:i w:val="0"/>
          <w:caps w:val="0"/>
          <w:color w:val="333333"/>
          <w:spacing w:val="0"/>
          <w:kern w:val="0"/>
          <w:sz w:val="28"/>
          <w:szCs w:val="28"/>
          <w:u w:val="single"/>
          <w:bdr w:val="none" w:color="auto" w:sz="0" w:space="0"/>
          <w:shd w:val="clear" w:fill="FFFFFF"/>
          <w:lang w:val="en-US" w:eastAsia="zh-CN" w:bidi="ar"/>
        </w:rPr>
        <w:t> 4.94  </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（二）支出预算情况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2019年区西湖街道人保所支出预算总额为93.25万元。其中：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按支出项目类别划分：基本支出93.25万元，占支出预算总额的100 % , 包括工资福利支出69.26万元、商品和服务支出15.91万元、对个人和家庭的补助8.08万元。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（三）财政拨款支出情况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11"/>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2019年区西湖街道人保所财政拨款支出预算93.25万元，占支出预算总额的100 %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（四）项目支出预算说明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48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（五）财政拨款结余说明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2019年西湖街道财政拨款结余4.94万元。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48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（六）政府采购预算说明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（七）机关运行经费等重要情况说明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2019年本部门机关运行经费为5万元。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（八）国有资产占有使用情况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（九）绩效目标设置情况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2019年实行绩效目标管理的项目0个。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11"/>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（十）政府性基金情况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本部门没有政府性基金预算。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（十一）其他需要说明的问题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 年西湖西湖街道人</w:t>
      </w:r>
      <w:bookmarkStart w:id="0" w:name="_GoBack"/>
      <w:bookmarkEnd w:id="0"/>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保所“三公”经费年初预算安排0万元。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三、劳保所本级及所属单位预算草案的具体说明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（一）劳保所本级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西湖区西湖街道劳保所编制人数7人，实有人数14人。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2、2019年预算收支情况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2019年收入预算总额93.25万元。其中：财政拨款93.25万元。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2019年支出预算总额93.25万元，其中：工资福利支出69.26万元、商品和服务支出15.91万元、对个人和家庭的补助8.08万元。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（二）西湖人保所所属单位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无所属单位。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第三部分  南昌市西湖区西湖街道人保所2019年部门预算表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八张表（详见附表，若其中某张表为空表或表中数据为0，即为没有相关收支预算安排。）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48"/>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一、收入科目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（一）财政拨款：指省级财政当年拨付的资金。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（二）事业收入：指事业单位开展专业业务活动及辅助活动取得的收入。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（三）事业单位经营收入：指事业单位在专业业务活动及辅助活动之外开展非独立核算经营活动取得的收入。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（四）其他收入：指除财政拨款、事业收入、事业单位经营收入等以外的各项收入。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（五）附属单位上缴收入：反映事业单位附属的独立核算单位按规定标准或比例缴纳的各项收入。包括附属的事业单位上缴的收入和附属的企业上缴的利润等。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（六）上级补助收入：反映事业单位从主管部门和上级单位取得的非财政补助收入。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（七）用事业基金弥补收支差额：填列事业单位用事业基金弥补2018年收支差额的数额。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（八）上年结转和结余：填列2016年全部结转和结余的资金数，包括当年结转结余资金和历年滚存结转结余资金。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二、支出科目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1、一般公共服务支出（类）财政事务（款）行政运行（项）：反映各级财政行政单位（包括实行公务员管理的事业单位）的基本支出。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2、一般公共服务支出（类）财政事务（款）一般行政管理事务（项）：反映各级财政行政单位（包括实行公务员管理的事业单位）未单独设置项级科目的其他项目支出。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3、一般公共服务支出（类）财政事务（款）财政国库业务（项）：反映财政部门用于财政国库集中收付业务方面的支出。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4、一般公共服务支出（类）财政事务（款）事业运行（项）：反映财政事业单位的基本支出。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5、一般公共服务支出（类）财政事务（款）其他财政事务支出（项）：反映财政事业单位其他财政事务方面的支出。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6、社会保障和就业支出（类）行政单位离退休（款）未归口管理的行政单位离退休（项）：反映未实行归口管理的行政单位（包括实行公务员管理的事业单位）开支的离退休经费。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7、社会保障和就业支出（类）行政单位离退休（款）机关事业单位基本养老保险缴费支出（项）：反映机关事业单位实施养老保险制度由单位缴纳的基本养老保险费支出。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8、社会保障和就业支出（类）行政单位离退休（款）机关事业单位职业年金缴费支出（项）：反映机关事业单位实施养老保险制度由单位实际缴纳的职业年金支出。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9、农林水支出（类）水利（款）其他水利支出（项）：反映除其他用于水利方面的支出。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10、住房保障支出（类）住房改革支出（款）住房公积金（项）：反映行政事业单位按人力资源和社会保障部、财政部规定的基本工资和津补贴以及规定比例为职工缴纳的住房公积金。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11、住房保障支出（类）住房改革支出（款）购房补贴（项）：反映按房改政策规定，行政事业单位向符合条件职工（含离退休人员）、军队（含武警）向转役复员离退休人员发放的用于购买住房的补贴。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1、部门收支预算总表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2、部门收入总表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3、部门支出总表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4、财政拨款收支总表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5、一般公共预算支出表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6、一般公共预算基本支出表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7、一般公共预算“三公经费”支出表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0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8、纳入预算管理的政府性基金收支预算表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1C7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2020-06-24T08:00:04Z</dcterms:created>
  <dc:creator>Administrator</dc:creator>
  <cp:lastModifiedBy>Administrator</cp:lastModifiedBy>
  <dcterms:modified xsi:type="dcterms:W3CDTF">2020-06-24T08:00:48Z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