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sz w:val="32"/>
          <w:szCs w:val="36"/>
          <w:lang w:val="en-US" w:eastAsia="zh-CN"/>
        </w:rPr>
      </w:pPr>
      <w:r>
        <w:rPr>
          <w:rFonts w:hint="eastAsia" w:ascii="黑体" w:hAnsi="黑体" w:eastAsia="黑体"/>
          <w:sz w:val="32"/>
          <w:szCs w:val="36"/>
          <w:lang w:val="en-US" w:eastAsia="zh-CN"/>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jc w:val="center"/>
        <w:rPr>
          <w:rFonts w:hint="eastAsia" w:ascii="宋体" w:hAnsi="宋体" w:eastAsia="宋体" w:cs="宋体"/>
          <w:b/>
          <w:i w:val="0"/>
          <w:caps w:val="0"/>
          <w:color w:val="333333"/>
          <w:spacing w:val="0"/>
          <w:sz w:val="44"/>
          <w:szCs w:val="44"/>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0"/>
        <w:jc w:val="center"/>
        <w:rPr>
          <w:rFonts w:hint="eastAsia" w:ascii="宋体" w:hAnsi="宋体" w:eastAsia="宋体" w:cs="宋体"/>
          <w:b/>
          <w:i w:val="0"/>
          <w:caps w:val="0"/>
          <w:color w:val="333333"/>
          <w:spacing w:val="0"/>
          <w:sz w:val="44"/>
          <w:szCs w:val="44"/>
          <w:shd w:val="clear" w:color="auto" w:fill="FFFFFF"/>
          <w:lang w:eastAsia="zh-CN"/>
        </w:rPr>
      </w:pPr>
      <w:r>
        <w:rPr>
          <w:rFonts w:hint="eastAsia" w:ascii="宋体" w:hAnsi="宋体" w:eastAsia="宋体" w:cs="宋体"/>
          <w:b/>
          <w:i w:val="0"/>
          <w:caps w:val="0"/>
          <w:color w:val="333333"/>
          <w:spacing w:val="0"/>
          <w:sz w:val="44"/>
          <w:szCs w:val="44"/>
          <w:shd w:val="clear" w:color="auto" w:fill="FFFFFF"/>
          <w:lang w:eastAsia="zh-CN"/>
        </w:rPr>
        <w:t>南昌市西湖区西湖街道</w:t>
      </w:r>
      <w:r>
        <w:rPr>
          <w:rFonts w:hint="eastAsia" w:ascii="宋体" w:hAnsi="宋体" w:eastAsia="宋体" w:cs="宋体"/>
          <w:b/>
          <w:i w:val="0"/>
          <w:caps w:val="0"/>
          <w:color w:val="333333"/>
          <w:spacing w:val="0"/>
          <w:sz w:val="44"/>
          <w:szCs w:val="44"/>
          <w:shd w:val="clear" w:color="auto" w:fill="FFFFFF"/>
        </w:rPr>
        <w:t>2020年度部门决算草案</w:t>
      </w:r>
      <w:r>
        <w:rPr>
          <w:rFonts w:hint="eastAsia" w:ascii="宋体" w:hAnsi="宋体" w:eastAsia="宋体" w:cs="宋体"/>
          <w:b/>
          <w:i w:val="0"/>
          <w:caps w:val="0"/>
          <w:color w:val="333333"/>
          <w:spacing w:val="0"/>
          <w:sz w:val="44"/>
          <w:szCs w:val="44"/>
          <w:shd w:val="clear" w:color="auto" w:fill="FFFFFF"/>
          <w:lang w:eastAsia="zh-CN"/>
        </w:rPr>
        <w:t>编制说明</w:t>
      </w:r>
    </w:p>
    <w:p>
      <w:pPr>
        <w:spacing w:line="600" w:lineRule="exact"/>
        <w:jc w:val="center"/>
        <w:rPr>
          <w:rFonts w:hint="eastAsia" w:ascii="黑体" w:eastAsia="黑体"/>
          <w:sz w:val="44"/>
          <w:szCs w:val="36"/>
        </w:rPr>
      </w:pPr>
    </w:p>
    <w:p>
      <w:pPr>
        <w:spacing w:line="600" w:lineRule="exact"/>
        <w:ind w:left="0" w:leftChars="0" w:right="0" w:rightChars="0" w:firstLine="0" w:firstLineChars="0"/>
        <w:jc w:val="center"/>
        <w:rPr>
          <w:rFonts w:hint="eastAsia" w:ascii="黑体" w:eastAsia="黑体"/>
          <w:sz w:val="44"/>
          <w:szCs w:val="36"/>
        </w:rPr>
      </w:pPr>
      <w:r>
        <w:rPr>
          <w:rFonts w:hint="eastAsia" w:ascii="黑体" w:eastAsia="黑体"/>
          <w:sz w:val="44"/>
          <w:szCs w:val="36"/>
        </w:rPr>
        <w:t>目</w:t>
      </w:r>
      <w:r>
        <w:rPr>
          <w:rFonts w:hint="eastAsia" w:ascii="黑体" w:eastAsia="黑体"/>
          <w:sz w:val="44"/>
          <w:szCs w:val="36"/>
          <w:lang w:val="en-US" w:eastAsia="zh-CN"/>
        </w:rPr>
        <w:t xml:space="preserve">  </w:t>
      </w:r>
      <w:r>
        <w:rPr>
          <w:rFonts w:hint="eastAsia" w:ascii="黑体" w:eastAsia="黑体"/>
          <w:sz w:val="44"/>
          <w:szCs w:val="36"/>
        </w:rPr>
        <w:t>录</w:t>
      </w:r>
    </w:p>
    <w:p>
      <w:pPr>
        <w:spacing w:line="600" w:lineRule="exact"/>
        <w:ind w:left="0" w:leftChars="0" w:right="0" w:rightChars="0" w:firstLine="0" w:firstLineChars="0"/>
        <w:jc w:val="center"/>
        <w:rPr>
          <w:rFonts w:hint="eastAsia" w:ascii="黑体" w:eastAsia="黑体"/>
          <w:sz w:val="44"/>
          <w:szCs w:val="36"/>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sz w:val="32"/>
          <w:szCs w:val="32"/>
          <w:lang w:val="en-US" w:eastAsia="zh-CN"/>
        </w:rPr>
        <w:t>2020年度西湖街道</w:t>
      </w:r>
      <w:r>
        <w:rPr>
          <w:rFonts w:hint="eastAsia" w:ascii="黑体" w:hAnsi="黑体" w:eastAsia="黑体"/>
          <w:b w:val="0"/>
          <w:bCs/>
          <w:sz w:val="32"/>
          <w:szCs w:val="32"/>
        </w:rPr>
        <w:t>部门概况</w:t>
      </w:r>
    </w:p>
    <w:p>
      <w:pPr>
        <w:widowControl/>
        <w:spacing w:line="600" w:lineRule="exact"/>
        <w:ind w:firstLine="640"/>
        <w:jc w:val="left"/>
        <w:rPr>
          <w:rFonts w:hint="eastAsia"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w:t>
      </w:r>
      <w:r>
        <w:rPr>
          <w:rFonts w:hint="eastAsia" w:ascii="黑体" w:hAnsi="黑体" w:eastAsia="黑体"/>
          <w:sz w:val="32"/>
          <w:szCs w:val="32"/>
          <w:lang w:eastAsia="zh-CN"/>
        </w:rPr>
        <w:t>西湖街道</w:t>
      </w:r>
      <w:r>
        <w:rPr>
          <w:rFonts w:hint="eastAsia" w:ascii="黑体" w:hAnsi="黑体" w:eastAsia="黑体"/>
          <w:sz w:val="32"/>
          <w:szCs w:val="32"/>
        </w:rPr>
        <w:t>部门决算表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eastAsia="zh-CN"/>
        </w:rPr>
        <w:t>国有资本经营预算财政拨款支出决算表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w:t>
      </w:r>
      <w:r>
        <w:rPr>
          <w:rFonts w:hint="eastAsia" w:ascii="仿宋_GB2312" w:hAnsi="仿宋_GB2312" w:eastAsia="仿宋_GB2312" w:cs="宋体"/>
          <w:kern w:val="0"/>
          <w:sz w:val="32"/>
          <w:szCs w:val="32"/>
          <w:lang w:eastAsia="zh-CN"/>
        </w:rPr>
        <w:t>十</w:t>
      </w:r>
      <w:r>
        <w:rPr>
          <w:rFonts w:hint="eastAsia" w:ascii="仿宋_GB2312" w:hAnsi="仿宋_GB2312" w:eastAsia="仿宋_GB2312"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w:t>
      </w:r>
      <w:r>
        <w:rPr>
          <w:rFonts w:hint="eastAsia" w:ascii="黑体" w:hAnsi="黑体" w:eastAsia="黑体"/>
          <w:sz w:val="32"/>
          <w:szCs w:val="32"/>
          <w:lang w:eastAsia="zh-CN"/>
        </w:rPr>
        <w:t>西湖街道</w:t>
      </w:r>
      <w:r>
        <w:rPr>
          <w:rFonts w:hint="eastAsia" w:ascii="黑体" w:hAnsi="黑体" w:eastAsia="黑体"/>
          <w:sz w:val="32"/>
          <w:szCs w:val="32"/>
        </w:rPr>
        <w:t>部门决算情况说明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p>
    <w:p>
      <w:pPr>
        <w:widowControl/>
        <w:numPr>
          <w:ilvl w:val="0"/>
          <w:numId w:val="2"/>
        </w:numPr>
        <w:spacing w:line="600" w:lineRule="exact"/>
        <w:ind w:firstLine="640"/>
        <w:jc w:val="center"/>
        <w:rPr>
          <w:rFonts w:hint="eastAsia" w:ascii="黑体" w:hAnsi="黑体" w:eastAsia="黑体"/>
          <w:sz w:val="32"/>
          <w:szCs w:val="32"/>
        </w:rPr>
      </w:pPr>
      <w:r>
        <w:rPr>
          <w:rFonts w:hint="eastAsia" w:ascii="黑体" w:hAnsi="黑体" w:eastAsia="黑体"/>
          <w:sz w:val="32"/>
          <w:szCs w:val="32"/>
          <w:lang w:eastAsia="zh-CN"/>
        </w:rPr>
        <w:t>西湖街道</w:t>
      </w:r>
      <w:r>
        <w:rPr>
          <w:rFonts w:hint="eastAsia" w:ascii="黑体" w:hAnsi="黑体" w:eastAsia="黑体"/>
          <w:sz w:val="32"/>
          <w:szCs w:val="32"/>
        </w:rPr>
        <w:t>部门概况</w:t>
      </w:r>
    </w:p>
    <w:p>
      <w:pPr>
        <w:ind w:firstLine="630"/>
        <w:jc w:val="left"/>
        <w:rPr>
          <w:rFonts w:hint="eastAsia" w:ascii="黑体" w:hAnsi="黑体" w:eastAsia="黑体"/>
          <w:sz w:val="32"/>
          <w:szCs w:val="30"/>
        </w:rPr>
      </w:pPr>
      <w:r>
        <w:rPr>
          <w:rFonts w:hint="eastAsia" w:ascii="黑体" w:hAnsi="黑体" w:eastAsia="黑体"/>
          <w:sz w:val="32"/>
          <w:szCs w:val="30"/>
        </w:rPr>
        <w:t>一、部门主要职能</w:t>
      </w:r>
    </w:p>
    <w:p>
      <w:pPr>
        <w:ind w:firstLine="627" w:firstLineChars="196"/>
        <w:rPr>
          <w:rFonts w:hint="eastAsia" w:ascii="仿宋_GB2312" w:hAnsi="宋体" w:eastAsia="仿宋_GB2312"/>
          <w:kern w:val="0"/>
          <w:sz w:val="32"/>
          <w:szCs w:val="32"/>
        </w:rPr>
      </w:pPr>
      <w:r>
        <w:rPr>
          <w:rFonts w:hint="eastAsia" w:ascii="仿宋_GB2312" w:hAnsi="仿宋_GB2312" w:eastAsia="仿宋_GB2312"/>
          <w:sz w:val="32"/>
          <w:szCs w:val="30"/>
        </w:rPr>
        <w:t>（一）</w:t>
      </w:r>
      <w:r>
        <w:rPr>
          <w:rFonts w:hint="eastAsia" w:ascii="仿宋_GB2312" w:hAnsi="宋体" w:eastAsia="仿宋_GB2312"/>
          <w:kern w:val="0"/>
          <w:sz w:val="32"/>
          <w:szCs w:val="32"/>
        </w:rPr>
        <w:t>西湖街道办事处是区政府批准成立的机构，主要职责是:在区人民政府和街道党工委的领导下，行使基层政权的部分权力，管理辖区的行政工作。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1、宣传、贯彻党的路线、方针、政策、执行法律、法规、规章和上级政府的决定、决议，对居民进行思想政治教育和法制教育。</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2、拟定本街道国民经济和社会发展规划和工作计划，并负责组织实施和监督检查。</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3、负责本街道的精神文明建设工作，推进创建文明单位、文明楼院活动国。</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4、负责对本街道内各种经济组织进行协调、指导，促进区域经济发展，做好协税护税和培植税源工作。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5、负责本辖区人口与计划生育工作，宣传党和国家的人口与计划生育政策，做好计划生育各项服务工作。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6负责本辖区社会治安综合治理工作，推进安全楼院建设，协调街道辖区单位内保工作，协助公安派出所做好消防工作，负责本辖区司法调解，普法，法律服务和帮教工作。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7、负责本街道社区建设工作，拟订社区建设工作发展规划，组织并指导社区干部的培训和社区服务管理工作；组织指导社区居委会换届选举工作，指导开展居民委员会民主选举、民主决策、民主管理和民主监督工作，推进基层主义政治建设；负责本街道居民最低生活保障对象的调查、申报和保障金的发放；负责本街道拥军优属工作，组织实施社会优待和为优抚对象解“三难”工作；负责本街道残联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8、参与城市建设和管理，会同有关部门做好辖区内市容环境卫生，协助搞好环境保护，道路绿化等工作。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9、负责本辖区群众性社区文化、社区体育、社区卫生及扫盲工作。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10、负责本公共就业服务。</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11、负责街道国有资产、集体资产的监督、管理和审计工作。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12、做好本</w:t>
      </w:r>
      <w:r>
        <w:rPr>
          <w:rFonts w:hint="eastAsia" w:ascii="仿宋_GB2312" w:hAnsi="宋体" w:eastAsia="仿宋_GB2312"/>
          <w:kern w:val="0"/>
          <w:sz w:val="32"/>
          <w:szCs w:val="32"/>
          <w:lang w:eastAsia="zh-CN"/>
        </w:rPr>
        <w:t>街道</w:t>
      </w:r>
      <w:r>
        <w:rPr>
          <w:rFonts w:hint="eastAsia" w:ascii="仿宋_GB2312" w:hAnsi="宋体" w:eastAsia="仿宋_GB2312"/>
          <w:kern w:val="0"/>
          <w:sz w:val="32"/>
          <w:szCs w:val="32"/>
        </w:rPr>
        <w:t>征兵工作和国防动员、国防教育工作。</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13、组织本街道人民代表和政协委员的学习、视察等活动，为人民代表依法行使权利和政协委员参政议政创造有利条件。</w:t>
      </w:r>
    </w:p>
    <w:p>
      <w:pPr>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14、处理人民来信，接待群众来访，及时向区委、区政府反映居民意见和建议。</w:t>
      </w:r>
    </w:p>
    <w:p>
      <w:pPr>
        <w:ind w:firstLine="627" w:firstLineChars="196"/>
        <w:rPr>
          <w:rFonts w:hint="eastAsia" w:ascii="仿宋_GB2312" w:hAnsi="宋体" w:eastAsia="仿宋_GB2312"/>
          <w:kern w:val="0"/>
          <w:sz w:val="28"/>
          <w:szCs w:val="28"/>
        </w:rPr>
      </w:pPr>
      <w:r>
        <w:rPr>
          <w:rFonts w:hint="eastAsia" w:ascii="仿宋_GB2312" w:hAnsi="宋体" w:eastAsia="仿宋_GB2312"/>
          <w:kern w:val="0"/>
          <w:sz w:val="32"/>
          <w:szCs w:val="32"/>
        </w:rPr>
        <w:t>15、完成区委、区政府交办的其他工作。</w:t>
      </w:r>
    </w:p>
    <w:p>
      <w:pPr>
        <w:ind w:firstLine="630"/>
        <w:jc w:val="left"/>
        <w:rPr>
          <w:rFonts w:hint="eastAsia" w:ascii="黑体" w:hAnsi="黑体" w:eastAsia="黑体"/>
          <w:sz w:val="32"/>
          <w:szCs w:val="30"/>
        </w:rPr>
      </w:pPr>
      <w:r>
        <w:rPr>
          <w:rFonts w:hint="eastAsia" w:ascii="黑体" w:hAnsi="黑体" w:eastAsia="黑体"/>
          <w:sz w:val="32"/>
          <w:szCs w:val="30"/>
        </w:rPr>
        <w:t>二、部门基本情况</w:t>
      </w:r>
    </w:p>
    <w:p>
      <w:pPr>
        <w:ind w:firstLine="630"/>
        <w:jc w:val="left"/>
        <w:rPr>
          <w:rFonts w:hint="eastAsia" w:ascii="仿宋_GB2312" w:hAnsi="仿宋_GB2312" w:eastAsia="仿宋_GB2312"/>
          <w:sz w:val="32"/>
          <w:szCs w:val="30"/>
          <w:lang w:eastAsia="zh-CN"/>
        </w:rPr>
      </w:pPr>
      <w:r>
        <w:rPr>
          <w:rFonts w:hint="eastAsia" w:ascii="仿宋_GB2312" w:hAnsi="仿宋_GB2312" w:eastAsia="仿宋_GB2312"/>
          <w:sz w:val="32"/>
          <w:szCs w:val="30"/>
        </w:rPr>
        <w:t xml:space="preserve">纳入本套部门决算汇编范围的单位共 </w:t>
      </w:r>
      <w:r>
        <w:rPr>
          <w:rFonts w:hint="eastAsia" w:ascii="仿宋_GB2312" w:hAnsi="仿宋_GB2312" w:eastAsia="仿宋_GB2312"/>
          <w:sz w:val="32"/>
          <w:szCs w:val="30"/>
          <w:lang w:val="en-US" w:eastAsia="zh-CN"/>
        </w:rPr>
        <w:t>1</w:t>
      </w:r>
      <w:r>
        <w:rPr>
          <w:rFonts w:hint="eastAsia" w:ascii="仿宋_GB2312" w:hAnsi="仿宋_GB2312" w:eastAsia="仿宋_GB2312"/>
          <w:sz w:val="32"/>
          <w:szCs w:val="30"/>
        </w:rPr>
        <w:t>个，本部门2020年年末实有人数</w:t>
      </w:r>
      <w:r>
        <w:rPr>
          <w:rFonts w:hint="eastAsia" w:ascii="仿宋_GB2312" w:hAnsi="仿宋_GB2312" w:eastAsia="仿宋_GB2312"/>
          <w:sz w:val="32"/>
          <w:szCs w:val="30"/>
          <w:lang w:val="en-US" w:eastAsia="zh-CN"/>
        </w:rPr>
        <w:t>42</w:t>
      </w:r>
      <w:r>
        <w:rPr>
          <w:rFonts w:hint="eastAsia" w:ascii="仿宋_GB2312" w:hAnsi="仿宋_GB2312" w:eastAsia="仿宋_GB2312"/>
          <w:sz w:val="32"/>
          <w:szCs w:val="30"/>
        </w:rPr>
        <w:t xml:space="preserve">人，其中在职人员 </w:t>
      </w:r>
      <w:r>
        <w:rPr>
          <w:rFonts w:hint="eastAsia" w:ascii="仿宋_GB2312" w:hAnsi="仿宋_GB2312" w:eastAsia="仿宋_GB2312"/>
          <w:sz w:val="32"/>
          <w:szCs w:val="30"/>
          <w:lang w:val="en-US" w:eastAsia="zh-CN"/>
        </w:rPr>
        <w:t>42</w:t>
      </w:r>
      <w:r>
        <w:rPr>
          <w:rFonts w:hint="eastAsia" w:ascii="仿宋_GB2312" w:hAnsi="仿宋_GB2312" w:eastAsia="仿宋_GB2312"/>
          <w:sz w:val="32"/>
          <w:szCs w:val="30"/>
        </w:rPr>
        <w:t xml:space="preserve"> 人，</w:t>
      </w:r>
      <w:r>
        <w:rPr>
          <w:rFonts w:hint="eastAsia" w:ascii="仿宋_GB2312" w:eastAsia="仿宋_GB2312"/>
          <w:sz w:val="28"/>
          <w:szCs w:val="28"/>
        </w:rPr>
        <w:t>行政编制 1</w:t>
      </w:r>
      <w:r>
        <w:rPr>
          <w:rFonts w:hint="eastAsia" w:ascii="仿宋_GB2312" w:eastAsia="仿宋_GB2312"/>
          <w:sz w:val="28"/>
          <w:szCs w:val="28"/>
          <w:lang w:val="en-US" w:eastAsia="zh-CN"/>
        </w:rPr>
        <w:t>1</w:t>
      </w:r>
      <w:r>
        <w:rPr>
          <w:rFonts w:hint="eastAsia" w:ascii="仿宋_GB2312" w:eastAsia="仿宋_GB2312"/>
          <w:sz w:val="28"/>
          <w:szCs w:val="28"/>
        </w:rPr>
        <w:t>人，全额补助事业编制</w:t>
      </w:r>
      <w:r>
        <w:rPr>
          <w:rFonts w:hint="eastAsia" w:ascii="仿宋_GB2312" w:eastAsia="仿宋_GB2312"/>
          <w:sz w:val="28"/>
          <w:szCs w:val="28"/>
          <w:lang w:val="en-US" w:eastAsia="zh-CN"/>
        </w:rPr>
        <w:t>31</w:t>
      </w:r>
      <w:r>
        <w:rPr>
          <w:rFonts w:hint="eastAsia" w:ascii="仿宋_GB2312" w:eastAsia="仿宋_GB2312"/>
          <w:sz w:val="28"/>
          <w:szCs w:val="28"/>
        </w:rPr>
        <w:t>人</w:t>
      </w:r>
      <w:r>
        <w:rPr>
          <w:rFonts w:hint="eastAsia" w:ascii="仿宋_GB2312" w:hAnsi="仿宋_GB2312" w:eastAsia="仿宋_GB2312"/>
          <w:sz w:val="32"/>
          <w:szCs w:val="30"/>
          <w:lang w:eastAsia="zh-CN"/>
        </w:rPr>
        <w:t>。</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ind w:left="0" w:leftChars="0" w:right="0" w:rightChars="0" w:firstLine="0" w:firstLineChars="0"/>
        <w:jc w:val="center"/>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第二部分  2020年度部门决算表</w:t>
      </w:r>
    </w:p>
    <w:p>
      <w:pPr>
        <w:autoSpaceDE w:val="0"/>
        <w:autoSpaceDN w:val="0"/>
        <w:adjustRightInd w:val="0"/>
        <w:spacing w:line="360" w:lineRule="auto"/>
        <w:jc w:val="left"/>
        <w:rPr>
          <w:rFonts w:hint="eastAsia"/>
          <w:szCs w:val="30"/>
        </w:rPr>
      </w:pPr>
      <w:r>
        <w:drawing>
          <wp:inline distT="0" distB="0" distL="114300" distR="114300">
            <wp:extent cx="4914900" cy="61817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914900" cy="6181725"/>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tabs>
          <w:tab w:val="right" w:pos="8306"/>
        </w:tabs>
        <w:bidi w:val="0"/>
        <w:jc w:val="left"/>
        <w:rPr>
          <w:rFonts w:hint="eastAsia" w:cstheme="minorBidi"/>
          <w:kern w:val="2"/>
          <w:sz w:val="21"/>
          <w:lang w:val="en-US" w:eastAsia="zh-CN" w:bidi="ar-SA"/>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cstheme="minorBidi"/>
          <w:kern w:val="2"/>
          <w:sz w:val="21"/>
          <w:lang w:val="en-US" w:eastAsia="zh-CN" w:bidi="ar-SA"/>
        </w:rPr>
        <w:tab/>
      </w:r>
    </w:p>
    <w:p>
      <w:pPr>
        <w:tabs>
          <w:tab w:val="right" w:pos="8306"/>
        </w:tabs>
        <w:bidi w:val="0"/>
        <w:jc w:val="left"/>
        <w:rPr>
          <w:rFonts w:hint="eastAsia" w:cstheme="minorBidi"/>
          <w:kern w:val="2"/>
          <w:sz w:val="21"/>
          <w:lang w:val="en-US" w:eastAsia="zh-CN" w:bidi="ar-SA"/>
        </w:rPr>
      </w:pPr>
    </w:p>
    <w:p>
      <w:pPr>
        <w:bidi w:val="0"/>
        <w:rPr>
          <w:rFonts w:hint="eastAsia" w:ascii="Times New Roman" w:hAnsi="Times New Roman" w:eastAsia="宋体" w:cstheme="minorBidi"/>
          <w:kern w:val="2"/>
          <w:sz w:val="21"/>
          <w:lang w:val="en-US" w:eastAsia="zh-CN" w:bidi="ar-SA"/>
        </w:rPr>
      </w:pPr>
    </w:p>
    <w:p>
      <w:pPr>
        <w:tabs>
          <w:tab w:val="left" w:pos="1152"/>
        </w:tabs>
        <w:bidi w:val="0"/>
        <w:jc w:val="left"/>
        <w:sectPr>
          <w:pgSz w:w="16838" w:h="11906" w:orient="landscape"/>
          <w:pgMar w:top="1800" w:right="1440" w:bottom="1800" w:left="1440" w:header="851" w:footer="992" w:gutter="0"/>
          <w:pgNumType w:fmt="numberInDash"/>
          <w:cols w:space="720" w:num="1"/>
          <w:docGrid w:type="lines" w:linePitch="312" w:charSpace="0"/>
        </w:sectPr>
      </w:pPr>
      <w:r>
        <w:rPr>
          <w:rFonts w:hint="eastAsia"/>
          <w:lang w:val="en-US" w:eastAsia="zh-CN"/>
        </w:rPr>
        <w:tab/>
      </w:r>
      <w:r>
        <w:drawing>
          <wp:inline distT="0" distB="0" distL="114300" distR="114300">
            <wp:extent cx="8858885" cy="4422775"/>
            <wp:effectExtent l="0" t="0" r="18415" b="1587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858885" cy="4422775"/>
                    </a:xfrm>
                    <a:prstGeom prst="rect">
                      <a:avLst/>
                    </a:prstGeom>
                    <a:noFill/>
                    <a:ln>
                      <a:noFill/>
                    </a:ln>
                  </pic:spPr>
                </pic:pic>
              </a:graphicData>
            </a:graphic>
          </wp:inline>
        </w:drawing>
      </w:r>
    </w:p>
    <w:p>
      <w:pPr>
        <w:tabs>
          <w:tab w:val="left" w:pos="822"/>
        </w:tabs>
        <w:bidi w:val="0"/>
        <w:jc w:val="left"/>
        <w:rPr>
          <w:rFonts w:hint="eastAsia"/>
          <w:lang w:val="en-US" w:eastAsia="zh-CN"/>
        </w:rPr>
      </w:pPr>
      <w:r>
        <w:rPr>
          <w:rFonts w:hint="eastAsia"/>
          <w:lang w:val="en-US" w:eastAsia="zh-CN"/>
        </w:rPr>
        <w:tab/>
      </w:r>
      <w:r>
        <w:drawing>
          <wp:inline distT="0" distB="0" distL="114300" distR="114300">
            <wp:extent cx="8860155" cy="4838065"/>
            <wp:effectExtent l="0" t="0" r="17145" b="63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8860155" cy="4838065"/>
                    </a:xfrm>
                    <a:prstGeom prst="rect">
                      <a:avLst/>
                    </a:prstGeom>
                    <a:noFill/>
                    <a:ln>
                      <a:noFill/>
                    </a:ln>
                  </pic:spPr>
                </pic:pic>
              </a:graphicData>
            </a:graphic>
          </wp:inline>
        </w:drawing>
      </w:r>
    </w:p>
    <w:p>
      <w:pPr>
        <w:bidi w:val="0"/>
        <w:rPr>
          <w:rFonts w:hint="eastAsia" w:ascii="Times New Roman" w:hAnsi="Times New Roman" w:eastAsia="宋体" w:cstheme="minorBidi"/>
          <w:kern w:val="2"/>
          <w:sz w:val="21"/>
          <w:lang w:val="en-US" w:eastAsia="zh-CN" w:bidi="ar-SA"/>
        </w:rPr>
      </w:pPr>
      <w:r>
        <w:drawing>
          <wp:inline distT="0" distB="0" distL="114300" distR="114300">
            <wp:extent cx="8237220" cy="5273675"/>
            <wp:effectExtent l="0" t="0" r="11430" b="317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8"/>
                    <a:stretch>
                      <a:fillRect/>
                    </a:stretch>
                  </pic:blipFill>
                  <pic:spPr>
                    <a:xfrm>
                      <a:off x="0" y="0"/>
                      <a:ext cx="8237220" cy="5273675"/>
                    </a:xfrm>
                    <a:prstGeom prst="rect">
                      <a:avLst/>
                    </a:prstGeom>
                    <a:noFill/>
                    <a:ln>
                      <a:noFill/>
                    </a:ln>
                  </pic:spPr>
                </pic:pic>
              </a:graphicData>
            </a:graphic>
          </wp:inline>
        </w:drawing>
      </w:r>
    </w:p>
    <w:p>
      <w:pPr>
        <w:tabs>
          <w:tab w:val="left" w:pos="1692"/>
        </w:tabs>
        <w:bidi w:val="0"/>
        <w:jc w:val="left"/>
        <w:rPr>
          <w:rFonts w:hint="eastAsia"/>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lang w:val="en-US" w:eastAsia="zh-CN"/>
        </w:rPr>
        <w:tab/>
      </w:r>
      <w:r>
        <w:drawing>
          <wp:inline distT="0" distB="0" distL="114300" distR="114300">
            <wp:extent cx="6536690" cy="5272405"/>
            <wp:effectExtent l="0" t="0" r="16510" b="444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9"/>
                    <a:stretch>
                      <a:fillRect/>
                    </a:stretch>
                  </pic:blipFill>
                  <pic:spPr>
                    <a:xfrm>
                      <a:off x="0" y="0"/>
                      <a:ext cx="6536690" cy="527240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r>
        <w:drawing>
          <wp:inline distT="0" distB="0" distL="114300" distR="114300">
            <wp:extent cx="5210175" cy="6619240"/>
            <wp:effectExtent l="0" t="0" r="9525" b="1016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0"/>
                    <a:stretch>
                      <a:fillRect/>
                    </a:stretch>
                  </pic:blipFill>
                  <pic:spPr>
                    <a:xfrm>
                      <a:off x="0" y="0"/>
                      <a:ext cx="5210175" cy="661924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ind w:firstLine="456" w:firstLineChars="0"/>
        <w:jc w:val="left"/>
        <w:rPr>
          <w:rFonts w:hint="eastAsia"/>
        </w:rPr>
      </w:pPr>
      <w:r>
        <w:drawing>
          <wp:inline distT="0" distB="0" distL="114300" distR="114300">
            <wp:extent cx="5271135" cy="4373880"/>
            <wp:effectExtent l="0" t="0" r="5715" b="762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1"/>
                    <a:stretch>
                      <a:fillRect/>
                    </a:stretch>
                  </pic:blipFill>
                  <pic:spPr>
                    <a:xfrm>
                      <a:off x="0" y="0"/>
                      <a:ext cx="5271135" cy="43738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tabs>
          <w:tab w:val="left" w:pos="1101"/>
        </w:tabs>
        <w:autoSpaceDE w:val="0"/>
        <w:autoSpaceDN w:val="0"/>
        <w:adjustRightInd w:val="0"/>
        <w:spacing w:line="360" w:lineRule="auto"/>
        <w:jc w:val="left"/>
        <w:rPr>
          <w:rFonts w:hint="eastAsia" w:eastAsia="宋体"/>
          <w:lang w:eastAsia="zh-CN"/>
        </w:rPr>
      </w:pPr>
      <w:r>
        <w:rPr>
          <w:rFonts w:hint="eastAsia"/>
          <w:lang w:eastAsia="zh-CN"/>
        </w:rPr>
        <w:tab/>
      </w:r>
    </w:p>
    <w:p>
      <w:pPr>
        <w:bidi w:val="0"/>
        <w:rPr>
          <w:rFonts w:ascii="Times New Roman" w:hAnsi="Times New Roman" w:eastAsia="宋体" w:cstheme="minorBidi"/>
          <w:kern w:val="2"/>
          <w:sz w:val="21"/>
          <w:lang w:val="en-US" w:eastAsia="zh-CN" w:bidi="ar-SA"/>
        </w:rPr>
      </w:pPr>
    </w:p>
    <w:p>
      <w:pPr>
        <w:bidi w:val="0"/>
        <w:rPr>
          <w:lang w:val="en-US" w:eastAsia="zh-CN"/>
        </w:rPr>
      </w:pPr>
    </w:p>
    <w:p>
      <w:pPr>
        <w:bidi w:val="0"/>
        <w:rPr>
          <w:lang w:val="en-US" w:eastAsia="zh-CN"/>
        </w:rPr>
      </w:pPr>
    </w:p>
    <w:p>
      <w:pPr>
        <w:tabs>
          <w:tab w:val="left" w:pos="1716"/>
        </w:tabs>
        <w:bidi w:val="0"/>
        <w:jc w:val="left"/>
        <w:rPr>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lang w:val="en-US" w:eastAsia="zh-CN"/>
        </w:rPr>
        <w:tab/>
      </w:r>
    </w:p>
    <w:p>
      <w:pPr>
        <w:autoSpaceDE w:val="0"/>
        <w:autoSpaceDN w:val="0"/>
        <w:adjustRightInd w:val="0"/>
        <w:spacing w:line="360" w:lineRule="auto"/>
        <w:ind w:firstLine="297" w:firstLineChars="0"/>
        <w:jc w:val="left"/>
      </w:pPr>
      <w:r>
        <w:drawing>
          <wp:inline distT="0" distB="0" distL="114300" distR="114300">
            <wp:extent cx="8856345" cy="3217545"/>
            <wp:effectExtent l="0" t="0" r="1905" b="190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2"/>
                    <a:stretch>
                      <a:fillRect/>
                    </a:stretch>
                  </pic:blipFill>
                  <pic:spPr>
                    <a:xfrm>
                      <a:off x="0" y="0"/>
                      <a:ext cx="8856345" cy="3217545"/>
                    </a:xfrm>
                    <a:prstGeom prst="rect">
                      <a:avLst/>
                    </a:prstGeom>
                    <a:noFill/>
                    <a:ln>
                      <a:noFill/>
                    </a:ln>
                  </pic:spPr>
                </pic:pic>
              </a:graphicData>
            </a:graphic>
          </wp:inline>
        </w:drawing>
      </w:r>
    </w:p>
    <w:p>
      <w:pPr>
        <w:rPr>
          <w:rFonts w:hint="eastAsia" w:ascii="仿宋" w:hAnsi="仿宋" w:eastAsia="仿宋" w:cs="仿宋_GB2312"/>
          <w:kern w:val="0"/>
          <w:sz w:val="30"/>
          <w:szCs w:val="30"/>
        </w:rPr>
      </w:pPr>
      <w:r>
        <w:rPr>
          <w:rFonts w:hint="eastAsia" w:ascii="仿宋" w:hAnsi="仿宋" w:eastAsia="仿宋" w:cs="仿宋_GB2312"/>
          <w:kern w:val="0"/>
          <w:sz w:val="30"/>
          <w:szCs w:val="30"/>
        </w:rPr>
        <w:br w:type="page"/>
      </w:r>
    </w:p>
    <w:p>
      <w:pPr>
        <w:autoSpaceDE w:val="0"/>
        <w:autoSpaceDN w:val="0"/>
        <w:adjustRightInd w:val="0"/>
        <w:spacing w:line="360" w:lineRule="auto"/>
        <w:jc w:val="left"/>
        <w:rPr>
          <w:rFonts w:hint="eastAsia" w:ascii="仿宋" w:hAnsi="仿宋" w:eastAsia="仿宋" w:cs="仿宋_GB2312"/>
          <w:kern w:val="0"/>
          <w:sz w:val="30"/>
          <w:szCs w:val="30"/>
        </w:rPr>
        <w:sectPr>
          <w:pgSz w:w="16838" w:h="11906" w:orient="landscape"/>
          <w:pgMar w:top="1800" w:right="1440" w:bottom="1800" w:left="1440" w:header="851" w:footer="992" w:gutter="0"/>
          <w:pgNumType w:fmt="numberInDash"/>
          <w:cols w:space="720" w:num="1"/>
          <w:docGrid w:type="lines" w:linePitch="312" w:charSpace="0"/>
        </w:sectPr>
      </w:pPr>
    </w:p>
    <w:p>
      <w:pPr>
        <w:tabs>
          <w:tab w:val="left" w:pos="1647"/>
        </w:tabs>
        <w:autoSpaceDE w:val="0"/>
        <w:autoSpaceDN w:val="0"/>
        <w:adjustRightInd w:val="0"/>
        <w:spacing w:line="360" w:lineRule="auto"/>
        <w:jc w:val="left"/>
        <w:rPr>
          <w:rFonts w:hint="eastAsia" w:eastAsia="宋体"/>
          <w:lang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lang w:eastAsia="zh-CN"/>
        </w:rPr>
        <w:tab/>
      </w:r>
      <w:r>
        <w:drawing>
          <wp:inline distT="0" distB="0" distL="114300" distR="114300">
            <wp:extent cx="8410575" cy="2476500"/>
            <wp:effectExtent l="0" t="0" r="9525" b="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3"/>
                    <a:stretch>
                      <a:fillRect/>
                    </a:stretch>
                  </pic:blipFill>
                  <pic:spPr>
                    <a:xfrm>
                      <a:off x="0" y="0"/>
                      <a:ext cx="8410575" cy="2476500"/>
                    </a:xfrm>
                    <a:prstGeom prst="rect">
                      <a:avLst/>
                    </a:prstGeom>
                    <a:noFill/>
                    <a:ln>
                      <a:noFill/>
                    </a:ln>
                  </pic:spPr>
                </pic:pic>
              </a:graphicData>
            </a:graphic>
          </wp:inline>
        </w:drawing>
      </w:r>
    </w:p>
    <w:p>
      <w:pPr>
        <w:autoSpaceDE w:val="0"/>
        <w:autoSpaceDN w:val="0"/>
        <w:adjustRightInd w:val="0"/>
        <w:spacing w:line="360" w:lineRule="auto"/>
        <w:ind w:firstLine="426" w:firstLineChars="0"/>
        <w:jc w:val="left"/>
        <w:rPr>
          <w:rFonts w:hint="eastAsia"/>
          <w:szCs w:val="30"/>
        </w:rPr>
      </w:pPr>
      <w:r>
        <w:drawing>
          <wp:inline distT="0" distB="0" distL="114300" distR="114300">
            <wp:extent cx="5272405" cy="2938780"/>
            <wp:effectExtent l="0" t="0" r="4445" b="1397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4"/>
                    <a:stretch>
                      <a:fillRect/>
                    </a:stretch>
                  </pic:blipFill>
                  <pic:spPr>
                    <a:xfrm>
                      <a:off x="0" y="0"/>
                      <a:ext cx="5272405" cy="2938780"/>
                    </a:xfrm>
                    <a:prstGeom prst="rect">
                      <a:avLst/>
                    </a:prstGeom>
                    <a:noFill/>
                    <a:ln>
                      <a:noFill/>
                    </a:ln>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p>
    <w:p>
      <w:pPr>
        <w:widowControl/>
        <w:spacing w:line="600" w:lineRule="exact"/>
        <w:jc w:val="both"/>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ind w:left="0" w:leftChars="0" w:right="0" w:rightChars="0" w:firstLine="0" w:firstLineChars="0"/>
        <w:jc w:val="center"/>
        <w:textAlignment w:val="auto"/>
        <w:outlineLvl w:val="9"/>
        <w:rPr>
          <w:rFonts w:hint="eastAsia" w:ascii="黑体" w:hAnsi="黑体" w:eastAsia="黑体"/>
          <w:b w:val="0"/>
          <w:bCs/>
          <w:sz w:val="32"/>
          <w:szCs w:val="32"/>
        </w:rPr>
      </w:pPr>
      <w:r>
        <w:rPr>
          <w:rFonts w:hint="eastAsia" w:ascii="黑体" w:hAnsi="黑体" w:eastAsia="黑体"/>
          <w:b w:val="0"/>
          <w:bCs/>
          <w:sz w:val="32"/>
          <w:szCs w:val="32"/>
        </w:rPr>
        <w:br w:type="page"/>
      </w:r>
      <w:r>
        <w:rPr>
          <w:rFonts w:hint="eastAsia" w:ascii="黑体" w:hAnsi="黑体" w:eastAsia="黑体"/>
          <w:b w:val="0"/>
          <w:bCs/>
          <w:sz w:val="32"/>
          <w:szCs w:val="32"/>
        </w:rPr>
        <w:t>第三部分  2020年度部门决算情况说明</w:t>
      </w:r>
    </w:p>
    <w:p>
      <w:pPr>
        <w:ind w:firstLine="630"/>
        <w:jc w:val="left"/>
        <w:rPr>
          <w:rFonts w:hint="eastAsia" w:ascii="黑体" w:hAnsi="黑体" w:eastAsia="黑体"/>
          <w:sz w:val="32"/>
          <w:szCs w:val="30"/>
        </w:rPr>
      </w:pPr>
      <w:r>
        <w:rPr>
          <w:rFonts w:hint="eastAsia" w:ascii="黑体" w:hAnsi="黑体" w:eastAsia="黑体"/>
          <w:sz w:val="32"/>
          <w:szCs w:val="30"/>
        </w:rPr>
        <w:t>一、收入决算情况说明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本部门2020年度收入总计 </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 xml:space="preserve">万元，其中年初结转和结余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万元，较2019年增加</w:t>
      </w:r>
      <w:r>
        <w:rPr>
          <w:rFonts w:hint="eastAsia" w:ascii="仿宋_GB2312" w:hAnsi="仿宋_GB2312" w:eastAsia="仿宋_GB2312"/>
          <w:sz w:val="32"/>
          <w:szCs w:val="30"/>
          <w:lang w:val="en-US" w:eastAsia="zh-CN"/>
        </w:rPr>
        <w:t>143.4</w:t>
      </w:r>
      <w:r>
        <w:rPr>
          <w:rFonts w:hint="eastAsia" w:ascii="仿宋_GB2312" w:hAnsi="仿宋_GB2312" w:eastAsia="仿宋_GB2312"/>
          <w:sz w:val="32"/>
          <w:szCs w:val="30"/>
        </w:rPr>
        <w:t>万元，增长</w:t>
      </w:r>
      <w:r>
        <w:rPr>
          <w:rFonts w:hint="eastAsia" w:ascii="仿宋_GB2312" w:hAnsi="仿宋_GB2312" w:eastAsia="仿宋_GB2312"/>
          <w:sz w:val="32"/>
          <w:szCs w:val="30"/>
          <w:lang w:val="en-US" w:eastAsia="zh-CN"/>
        </w:rPr>
        <w:t>14.7</w:t>
      </w:r>
      <w:r>
        <w:rPr>
          <w:rFonts w:hint="eastAsia" w:ascii="仿宋_GB2312" w:hAnsi="仿宋_GB2312" w:eastAsia="仿宋_GB2312"/>
          <w:sz w:val="32"/>
          <w:szCs w:val="30"/>
        </w:rPr>
        <w:t xml:space="preserve">  %；本年收入合计</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 xml:space="preserve">  万元，较2019年增加</w:t>
      </w:r>
      <w:r>
        <w:rPr>
          <w:rFonts w:hint="eastAsia" w:ascii="仿宋_GB2312" w:hAnsi="仿宋_GB2312" w:eastAsia="仿宋_GB2312"/>
          <w:sz w:val="32"/>
          <w:szCs w:val="30"/>
          <w:lang w:val="en-US" w:eastAsia="zh-CN"/>
        </w:rPr>
        <w:t>143.4</w:t>
      </w:r>
      <w:r>
        <w:rPr>
          <w:rFonts w:hint="eastAsia" w:ascii="仿宋_GB2312" w:hAnsi="仿宋_GB2312" w:eastAsia="仿宋_GB2312"/>
          <w:sz w:val="32"/>
          <w:szCs w:val="30"/>
        </w:rPr>
        <w:t>万元，增长</w:t>
      </w:r>
      <w:r>
        <w:rPr>
          <w:rFonts w:hint="eastAsia" w:ascii="仿宋_GB2312" w:hAnsi="仿宋_GB2312" w:eastAsia="仿宋_GB2312"/>
          <w:sz w:val="32"/>
          <w:szCs w:val="30"/>
          <w:lang w:val="en-US" w:eastAsia="zh-CN"/>
        </w:rPr>
        <w:t>14.7</w:t>
      </w:r>
      <w:r>
        <w:rPr>
          <w:rFonts w:hint="eastAsia" w:ascii="仿宋_GB2312" w:hAnsi="仿宋_GB2312" w:eastAsia="仿宋_GB2312"/>
          <w:sz w:val="32"/>
          <w:szCs w:val="30"/>
        </w:rPr>
        <w:t>%，主要原因是：</w:t>
      </w:r>
      <w:r>
        <w:rPr>
          <w:rFonts w:hint="eastAsia" w:ascii="仿宋_GB2312" w:hAnsi="仿宋_GB2312" w:eastAsia="仿宋_GB2312"/>
          <w:sz w:val="32"/>
          <w:szCs w:val="30"/>
          <w:lang w:eastAsia="zh-CN"/>
        </w:rPr>
        <w:t>机构改革，单位人员增加增加人员经费</w:t>
      </w:r>
      <w:r>
        <w:rPr>
          <w:rFonts w:hint="eastAsia" w:ascii="仿宋_GB2312" w:hAnsi="仿宋_GB2312" w:eastAsia="仿宋_GB2312"/>
          <w:sz w:val="32"/>
          <w:szCs w:val="30"/>
        </w:rPr>
        <w:t>。</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 xml:space="preserve"> 万元，占 </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 xml:space="preserve"> %</w:t>
      </w:r>
      <w:r>
        <w:rPr>
          <w:rFonts w:hint="eastAsia" w:ascii="仿宋_GB2312" w:hAnsi="仿宋_GB2312" w:eastAsia="仿宋_GB2312"/>
          <w:sz w:val="32"/>
          <w:szCs w:val="30"/>
          <w:lang w:eastAsia="zh-CN"/>
        </w:rPr>
        <w:t>。</w:t>
      </w:r>
      <w:r>
        <w:rPr>
          <w:rFonts w:hint="eastAsia" w:ascii="仿宋_GB2312" w:hAnsi="仿宋_GB2312" w:eastAsia="仿宋_GB2312"/>
          <w:sz w:val="32"/>
          <w:szCs w:val="30"/>
        </w:rPr>
        <w:t xml:space="preserve">  </w:t>
      </w:r>
    </w:p>
    <w:p>
      <w:pPr>
        <w:ind w:firstLine="630"/>
        <w:jc w:val="left"/>
        <w:rPr>
          <w:rFonts w:hint="eastAsia" w:ascii="黑体" w:hAnsi="黑体" w:eastAsia="黑体"/>
          <w:sz w:val="32"/>
          <w:szCs w:val="30"/>
        </w:rPr>
      </w:pPr>
      <w:r>
        <w:rPr>
          <w:rFonts w:hint="eastAsia" w:ascii="黑体" w:hAnsi="黑体" w:eastAsia="黑体"/>
          <w:sz w:val="32"/>
          <w:szCs w:val="30"/>
        </w:rPr>
        <w:t>二、支出决算情况说明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本部门2020年度支出总计</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万元，其中本年支出合计</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 xml:space="preserve"> 万元，较2019年增加</w:t>
      </w:r>
      <w:r>
        <w:rPr>
          <w:rFonts w:hint="eastAsia" w:ascii="仿宋_GB2312" w:hAnsi="仿宋_GB2312" w:eastAsia="仿宋_GB2312"/>
          <w:sz w:val="32"/>
          <w:szCs w:val="30"/>
          <w:lang w:val="en-US" w:eastAsia="zh-CN"/>
        </w:rPr>
        <w:t>132.71</w:t>
      </w:r>
      <w:r>
        <w:rPr>
          <w:rFonts w:hint="eastAsia" w:ascii="仿宋_GB2312" w:hAnsi="仿宋_GB2312" w:eastAsia="仿宋_GB2312"/>
          <w:sz w:val="32"/>
          <w:szCs w:val="30"/>
        </w:rPr>
        <w:t>万元，增长</w:t>
      </w:r>
      <w:r>
        <w:rPr>
          <w:rFonts w:hint="eastAsia" w:ascii="仿宋_GB2312" w:hAnsi="仿宋_GB2312" w:eastAsia="仿宋_GB2312"/>
          <w:sz w:val="32"/>
          <w:szCs w:val="30"/>
          <w:lang w:val="en-US" w:eastAsia="zh-CN"/>
        </w:rPr>
        <w:t>13.6</w:t>
      </w:r>
      <w:r>
        <w:rPr>
          <w:rFonts w:hint="eastAsia" w:ascii="仿宋_GB2312" w:hAnsi="仿宋_GB2312" w:eastAsia="仿宋_GB2312"/>
          <w:sz w:val="32"/>
          <w:szCs w:val="30"/>
        </w:rPr>
        <w:t xml:space="preserve"> %，主要原因是：</w:t>
      </w:r>
      <w:r>
        <w:rPr>
          <w:rFonts w:hint="eastAsia" w:ascii="仿宋_GB2312" w:hAnsi="仿宋_GB2312" w:eastAsia="仿宋_GB2312"/>
          <w:sz w:val="32"/>
          <w:szCs w:val="30"/>
          <w:lang w:eastAsia="zh-CN"/>
        </w:rPr>
        <w:t>机构改革，单位人员增加</w:t>
      </w:r>
      <w:r>
        <w:rPr>
          <w:rFonts w:hint="eastAsia" w:ascii="仿宋_GB2312" w:hAnsi="仿宋_GB2312" w:eastAsia="仿宋_GB2312"/>
          <w:sz w:val="32"/>
          <w:szCs w:val="30"/>
        </w:rPr>
        <w:t>。</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本年支出的具体构成为：基本支出 </w:t>
      </w:r>
      <w:r>
        <w:rPr>
          <w:rFonts w:hint="eastAsia" w:ascii="仿宋_GB2312" w:hAnsi="仿宋_GB2312" w:eastAsia="仿宋_GB2312"/>
          <w:sz w:val="32"/>
          <w:szCs w:val="30"/>
          <w:lang w:val="en-US" w:eastAsia="zh-CN"/>
        </w:rPr>
        <w:t>479.09</w:t>
      </w:r>
      <w:r>
        <w:rPr>
          <w:rFonts w:hint="eastAsia" w:ascii="仿宋_GB2312" w:hAnsi="仿宋_GB2312" w:eastAsia="仿宋_GB2312"/>
          <w:sz w:val="32"/>
          <w:szCs w:val="30"/>
        </w:rPr>
        <w:t xml:space="preserve"> 万元，占</w:t>
      </w:r>
      <w:r>
        <w:rPr>
          <w:rFonts w:hint="eastAsia" w:ascii="仿宋_GB2312" w:hAnsi="仿宋_GB2312" w:eastAsia="仿宋_GB2312"/>
          <w:sz w:val="32"/>
          <w:szCs w:val="30"/>
          <w:lang w:val="en-US" w:eastAsia="zh-CN"/>
        </w:rPr>
        <w:t>49.4</w:t>
      </w:r>
      <w:r>
        <w:rPr>
          <w:rFonts w:hint="eastAsia" w:ascii="仿宋_GB2312" w:hAnsi="仿宋_GB2312" w:eastAsia="仿宋_GB2312"/>
          <w:sz w:val="32"/>
          <w:szCs w:val="30"/>
        </w:rPr>
        <w:t xml:space="preserve"> %；项目支出</w:t>
      </w:r>
      <w:r>
        <w:rPr>
          <w:rFonts w:hint="eastAsia" w:ascii="仿宋_GB2312" w:hAnsi="仿宋_GB2312" w:eastAsia="仿宋_GB2312"/>
          <w:sz w:val="32"/>
          <w:szCs w:val="30"/>
          <w:lang w:val="en-US" w:eastAsia="zh-CN"/>
        </w:rPr>
        <w:t>491.83</w:t>
      </w:r>
      <w:r>
        <w:rPr>
          <w:rFonts w:hint="eastAsia" w:ascii="仿宋_GB2312" w:hAnsi="仿宋_GB2312" w:eastAsia="仿宋_GB2312"/>
          <w:sz w:val="32"/>
          <w:szCs w:val="30"/>
        </w:rPr>
        <w:t>万元，占</w:t>
      </w:r>
      <w:r>
        <w:rPr>
          <w:rFonts w:hint="eastAsia" w:ascii="仿宋_GB2312" w:hAnsi="仿宋_GB2312" w:eastAsia="仿宋_GB2312"/>
          <w:sz w:val="32"/>
          <w:szCs w:val="30"/>
          <w:lang w:val="en-US" w:eastAsia="zh-CN"/>
        </w:rPr>
        <w:t>50.6</w:t>
      </w:r>
      <w:r>
        <w:rPr>
          <w:rFonts w:hint="eastAsia" w:ascii="仿宋_GB2312" w:hAnsi="仿宋_GB2312" w:eastAsia="仿宋_GB2312"/>
          <w:sz w:val="32"/>
          <w:szCs w:val="30"/>
        </w:rPr>
        <w:t xml:space="preserve"> %。</w:t>
      </w:r>
    </w:p>
    <w:p>
      <w:pPr>
        <w:ind w:firstLine="630"/>
        <w:jc w:val="left"/>
        <w:rPr>
          <w:rFonts w:hint="eastAsia" w:ascii="黑体" w:hAnsi="黑体" w:eastAsia="黑体"/>
          <w:sz w:val="32"/>
          <w:szCs w:val="30"/>
        </w:rPr>
      </w:pPr>
      <w:r>
        <w:rPr>
          <w:rFonts w:hint="eastAsia" w:ascii="黑体" w:hAnsi="黑体" w:eastAsia="黑体"/>
          <w:sz w:val="32"/>
          <w:szCs w:val="30"/>
        </w:rPr>
        <w:t>三、财政拨款支出决算情况说明</w:t>
      </w:r>
    </w:p>
    <w:p>
      <w:pPr>
        <w:jc w:val="left"/>
        <w:rPr>
          <w:rFonts w:hint="eastAsia" w:ascii="仿宋" w:hAnsi="仿宋" w:eastAsia="仿宋"/>
          <w:sz w:val="32"/>
          <w:szCs w:val="30"/>
        </w:rPr>
      </w:pPr>
      <w:r>
        <w:rPr>
          <w:rFonts w:hint="eastAsia" w:ascii="仿宋_GB2312" w:hAnsi="仿宋_GB2312" w:eastAsia="仿宋_GB2312"/>
          <w:sz w:val="32"/>
          <w:szCs w:val="30"/>
        </w:rPr>
        <w:t>本部门2020年度财政拨款本年支出年初预算数为</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万元，决算数为</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 xml:space="preserve">万元，完成年初预算的 </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 xml:space="preserve"> %。</w:t>
      </w:r>
    </w:p>
    <w:p>
      <w:pPr>
        <w:ind w:firstLine="585"/>
        <w:jc w:val="left"/>
        <w:rPr>
          <w:rFonts w:hint="eastAsia"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本部门2020年度一般公共预算财政拨款基本支出 </w:t>
      </w:r>
      <w:r>
        <w:rPr>
          <w:rFonts w:hint="eastAsia" w:ascii="仿宋_GB2312" w:hAnsi="仿宋_GB2312" w:eastAsia="仿宋_GB2312"/>
          <w:sz w:val="32"/>
          <w:szCs w:val="30"/>
          <w:lang w:val="en-US" w:eastAsia="zh-CN"/>
        </w:rPr>
        <w:t>970.92</w:t>
      </w:r>
      <w:r>
        <w:rPr>
          <w:rFonts w:hint="eastAsia" w:ascii="仿宋_GB2312" w:hAnsi="仿宋_GB2312" w:eastAsia="仿宋_GB2312"/>
          <w:sz w:val="32"/>
          <w:szCs w:val="30"/>
        </w:rPr>
        <w:t xml:space="preserve"> 万元，其中：</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（一）工资福利支出</w:t>
      </w:r>
      <w:r>
        <w:rPr>
          <w:rFonts w:hint="eastAsia" w:ascii="仿宋_GB2312" w:hAnsi="仿宋_GB2312" w:eastAsia="仿宋_GB2312"/>
          <w:sz w:val="32"/>
          <w:szCs w:val="30"/>
          <w:lang w:val="en-US" w:eastAsia="zh-CN"/>
        </w:rPr>
        <w:t>415.07</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71.47</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17.2</w:t>
      </w:r>
      <w:r>
        <w:rPr>
          <w:rFonts w:hint="eastAsia" w:ascii="仿宋_GB2312" w:hAnsi="仿宋_GB2312" w:eastAsia="仿宋_GB2312"/>
          <w:sz w:val="32"/>
          <w:szCs w:val="30"/>
        </w:rPr>
        <w:t>%，主要原因是：</w:t>
      </w:r>
      <w:r>
        <w:rPr>
          <w:rFonts w:hint="eastAsia" w:ascii="仿宋_GB2312" w:hAnsi="仿宋_GB2312" w:eastAsia="仿宋_GB2312"/>
          <w:sz w:val="32"/>
          <w:szCs w:val="30"/>
          <w:lang w:eastAsia="zh-CN"/>
        </w:rPr>
        <w:t>人员经费的减少</w:t>
      </w:r>
      <w:r>
        <w:rPr>
          <w:rFonts w:hint="eastAsia" w:ascii="仿宋_GB2312" w:hAnsi="仿宋_GB2312" w:eastAsia="仿宋_GB2312"/>
          <w:sz w:val="32"/>
          <w:szCs w:val="30"/>
        </w:rPr>
        <w:t>。</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 xml:space="preserve">（二）商品和服务支出 </w:t>
      </w:r>
      <w:r>
        <w:rPr>
          <w:rFonts w:hint="eastAsia" w:ascii="仿宋_GB2312" w:hAnsi="仿宋_GB2312" w:eastAsia="仿宋_GB2312"/>
          <w:sz w:val="32"/>
          <w:szCs w:val="30"/>
          <w:lang w:val="en-US" w:eastAsia="zh-CN"/>
        </w:rPr>
        <w:t>494.37</w:t>
      </w:r>
      <w:r>
        <w:rPr>
          <w:rFonts w:hint="eastAsia" w:ascii="仿宋_GB2312" w:hAnsi="仿宋_GB2312" w:eastAsia="仿宋_GB2312"/>
          <w:sz w:val="32"/>
          <w:szCs w:val="30"/>
        </w:rPr>
        <w:t xml:space="preserve"> 万元，较2019年增加</w:t>
      </w:r>
      <w:r>
        <w:rPr>
          <w:rFonts w:hint="eastAsia" w:ascii="仿宋_GB2312" w:hAnsi="仿宋_GB2312" w:eastAsia="仿宋_GB2312"/>
          <w:sz w:val="32"/>
          <w:szCs w:val="30"/>
          <w:lang w:val="en-US" w:eastAsia="zh-CN"/>
        </w:rPr>
        <w:t>251.74</w:t>
      </w:r>
      <w:r>
        <w:rPr>
          <w:rFonts w:hint="eastAsia" w:ascii="仿宋_GB2312" w:hAnsi="仿宋_GB2312" w:eastAsia="仿宋_GB2312"/>
          <w:sz w:val="32"/>
          <w:szCs w:val="30"/>
        </w:rPr>
        <w:t xml:space="preserve"> 万元，增长</w:t>
      </w:r>
      <w:r>
        <w:rPr>
          <w:rFonts w:hint="eastAsia" w:ascii="仿宋_GB2312" w:hAnsi="仿宋_GB2312" w:eastAsia="仿宋_GB2312"/>
          <w:sz w:val="32"/>
          <w:szCs w:val="30"/>
          <w:lang w:val="en-US" w:eastAsia="zh-CN"/>
        </w:rPr>
        <w:t>50.9</w:t>
      </w:r>
      <w:r>
        <w:rPr>
          <w:rFonts w:hint="eastAsia" w:ascii="仿宋_GB2312" w:hAnsi="仿宋_GB2312" w:eastAsia="仿宋_GB2312"/>
          <w:sz w:val="32"/>
          <w:szCs w:val="30"/>
        </w:rPr>
        <w:t>%，主要原因是：</w:t>
      </w:r>
      <w:r>
        <w:rPr>
          <w:rFonts w:hint="eastAsia" w:ascii="仿宋_GB2312" w:hAnsi="仿宋_GB2312" w:eastAsia="仿宋_GB2312"/>
          <w:sz w:val="32"/>
          <w:szCs w:val="30"/>
          <w:lang w:eastAsia="zh-CN"/>
        </w:rPr>
        <w:t>受疫情影响购买大量防疫物资增加开支</w:t>
      </w:r>
      <w:r>
        <w:rPr>
          <w:rFonts w:hint="eastAsia" w:ascii="仿宋_GB2312" w:hAnsi="仿宋_GB2312" w:eastAsia="仿宋_GB2312"/>
          <w:sz w:val="32"/>
          <w:szCs w:val="30"/>
        </w:rPr>
        <w:t>。</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（三）对个人和家庭补助</w:t>
      </w:r>
      <w:r>
        <w:rPr>
          <w:rFonts w:hint="eastAsia" w:ascii="仿宋_GB2312" w:hAnsi="仿宋_GB2312" w:eastAsia="仿宋_GB2312"/>
          <w:sz w:val="32"/>
          <w:szCs w:val="30"/>
          <w:lang w:eastAsia="zh-CN"/>
        </w:rPr>
        <w:t>支出</w:t>
      </w:r>
      <w:r>
        <w:rPr>
          <w:rFonts w:hint="eastAsia" w:ascii="仿宋_GB2312" w:hAnsi="仿宋_GB2312" w:eastAsia="仿宋_GB2312"/>
          <w:sz w:val="32"/>
          <w:szCs w:val="30"/>
          <w:lang w:val="en-US" w:eastAsia="zh-CN"/>
        </w:rPr>
        <w:t>61.48</w:t>
      </w:r>
      <w:r>
        <w:rPr>
          <w:rFonts w:hint="eastAsia" w:ascii="仿宋_GB2312" w:hAnsi="仿宋_GB2312" w:eastAsia="仿宋_GB2312"/>
          <w:sz w:val="32"/>
          <w:szCs w:val="30"/>
        </w:rPr>
        <w:t xml:space="preserve"> 万元，较2019年增加</w:t>
      </w:r>
      <w:r>
        <w:rPr>
          <w:rFonts w:hint="eastAsia" w:ascii="仿宋_GB2312" w:hAnsi="仿宋_GB2312" w:eastAsia="仿宋_GB2312"/>
          <w:sz w:val="32"/>
          <w:szCs w:val="30"/>
          <w:lang w:val="en-US" w:eastAsia="zh-CN"/>
        </w:rPr>
        <w:t>25.74</w:t>
      </w:r>
      <w:r>
        <w:rPr>
          <w:rFonts w:hint="eastAsia" w:ascii="仿宋_GB2312" w:hAnsi="仿宋_GB2312" w:eastAsia="仿宋_GB2312"/>
          <w:sz w:val="32"/>
          <w:szCs w:val="30"/>
        </w:rPr>
        <w:t xml:space="preserve"> 万元，增长</w:t>
      </w:r>
      <w:r>
        <w:rPr>
          <w:rFonts w:hint="eastAsia" w:ascii="仿宋_GB2312" w:hAnsi="仿宋_GB2312" w:eastAsia="仿宋_GB2312"/>
          <w:sz w:val="32"/>
          <w:szCs w:val="30"/>
          <w:lang w:val="en-US" w:eastAsia="zh-CN"/>
        </w:rPr>
        <w:t>41.8</w:t>
      </w:r>
      <w:r>
        <w:rPr>
          <w:rFonts w:hint="eastAsia" w:ascii="仿宋_GB2312" w:hAnsi="仿宋_GB2312" w:eastAsia="仿宋_GB2312"/>
          <w:sz w:val="32"/>
          <w:szCs w:val="30"/>
        </w:rPr>
        <w:t xml:space="preserve"> %，主要原因是</w:t>
      </w:r>
      <w:r>
        <w:rPr>
          <w:rFonts w:hint="eastAsia" w:ascii="仿宋_GB2312" w:hAnsi="仿宋_GB2312" w:eastAsia="仿宋_GB2312"/>
          <w:sz w:val="32"/>
          <w:szCs w:val="30"/>
          <w:lang w:eastAsia="zh-CN"/>
        </w:rPr>
        <w:t>：走访慰问增加</w:t>
      </w:r>
      <w:r>
        <w:rPr>
          <w:rFonts w:hint="eastAsia" w:ascii="仿宋_GB2312" w:hAnsi="仿宋_GB2312" w:eastAsia="仿宋_GB2312"/>
          <w:sz w:val="32"/>
          <w:szCs w:val="30"/>
        </w:rPr>
        <w:t>。</w:t>
      </w:r>
    </w:p>
    <w:p>
      <w:pPr>
        <w:ind w:firstLine="585"/>
        <w:jc w:val="left"/>
        <w:rPr>
          <w:rFonts w:hint="eastAsia" w:ascii="仿宋_GB2312" w:hAnsi="仿宋_GB2312" w:eastAsia="仿宋_GB2312"/>
          <w:sz w:val="32"/>
          <w:szCs w:val="30"/>
        </w:rPr>
      </w:pPr>
      <w:r>
        <w:rPr>
          <w:rFonts w:hint="eastAsia" w:ascii="仿宋_GB2312" w:hAnsi="仿宋_GB2312" w:eastAsia="仿宋_GB2312"/>
          <w:sz w:val="32"/>
          <w:szCs w:val="30"/>
        </w:rPr>
        <w:t xml:space="preserve">（四）资本性支出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万元，较2019年减少</w:t>
      </w:r>
      <w:r>
        <w:rPr>
          <w:rFonts w:hint="eastAsia" w:ascii="仿宋_GB2312" w:hAnsi="仿宋_GB2312" w:eastAsia="仿宋_GB2312"/>
          <w:sz w:val="32"/>
          <w:szCs w:val="30"/>
          <w:lang w:val="en-US" w:eastAsia="zh-CN"/>
        </w:rPr>
        <w:t>73.29</w:t>
      </w:r>
      <w:r>
        <w:rPr>
          <w:rFonts w:hint="eastAsia" w:ascii="仿宋_GB2312" w:hAnsi="仿宋_GB2312" w:eastAsia="仿宋_GB2312"/>
          <w:sz w:val="32"/>
          <w:szCs w:val="30"/>
        </w:rPr>
        <w:t xml:space="preserve"> 万元，下降</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 xml:space="preserve"> %，主要原因是：</w:t>
      </w:r>
      <w:r>
        <w:rPr>
          <w:rFonts w:hint="eastAsia" w:ascii="仿宋_GB2312" w:hAnsi="仿宋_GB2312" w:eastAsia="仿宋_GB2312"/>
          <w:sz w:val="32"/>
          <w:szCs w:val="30"/>
          <w:lang w:eastAsia="zh-CN"/>
        </w:rPr>
        <w:t>由于疫情原因减少各种项目建设压缩开支</w:t>
      </w:r>
      <w:r>
        <w:rPr>
          <w:rFonts w:hint="eastAsia" w:ascii="仿宋_GB2312" w:hAnsi="仿宋_GB2312" w:eastAsia="仿宋_GB2312"/>
          <w:sz w:val="32"/>
          <w:szCs w:val="30"/>
        </w:rPr>
        <w:t>。</w:t>
      </w:r>
    </w:p>
    <w:p>
      <w:pPr>
        <w:ind w:firstLine="630"/>
        <w:jc w:val="left"/>
        <w:rPr>
          <w:rFonts w:hint="eastAsia"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万元，决算数为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万元，决算数较2019年减少</w:t>
      </w:r>
      <w:r>
        <w:rPr>
          <w:rFonts w:hint="eastAsia" w:ascii="仿宋_GB2312" w:hAnsi="仿宋_GB2312" w:eastAsia="仿宋_GB2312"/>
          <w:sz w:val="32"/>
          <w:szCs w:val="30"/>
          <w:lang w:val="en-US" w:eastAsia="zh-CN"/>
        </w:rPr>
        <w:t>7.61</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%，其中：</w:t>
      </w:r>
    </w:p>
    <w:p>
      <w:pPr>
        <w:ind w:firstLine="63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（一）因公出国（境）支出年初预算数为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万元，决算数为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万元，决算数较2019年减少</w:t>
      </w:r>
      <w:r>
        <w:rPr>
          <w:rFonts w:hint="eastAsia" w:ascii="仿宋_GB2312" w:hAnsi="仿宋_GB2312" w:eastAsia="仿宋_GB2312"/>
          <w:sz w:val="32"/>
          <w:szCs w:val="30"/>
          <w:lang w:val="en-US" w:eastAsia="zh-CN"/>
        </w:rPr>
        <w:t>7.61</w:t>
      </w:r>
      <w:r>
        <w:rPr>
          <w:rFonts w:hint="eastAsia" w:ascii="仿宋_GB2312" w:hAnsi="仿宋_GB2312" w:eastAsia="仿宋_GB2312"/>
          <w:sz w:val="32"/>
          <w:szCs w:val="30"/>
        </w:rPr>
        <w:t>万元，下降</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 xml:space="preserve"> %。决算数较年初预算数减少的主要原因是：</w:t>
      </w:r>
      <w:r>
        <w:rPr>
          <w:rFonts w:hint="eastAsia" w:ascii="仿宋_GB2312" w:hAnsi="仿宋_GB2312" w:eastAsia="仿宋_GB2312"/>
          <w:sz w:val="32"/>
          <w:szCs w:val="30"/>
          <w:lang w:eastAsia="zh-CN"/>
        </w:rPr>
        <w:t>没有因公出国事件</w:t>
      </w:r>
      <w:r>
        <w:rPr>
          <w:rFonts w:hint="eastAsia" w:ascii="仿宋_GB2312" w:hAnsi="仿宋_GB2312" w:eastAsia="仿宋_GB2312"/>
          <w:sz w:val="32"/>
          <w:szCs w:val="30"/>
        </w:rPr>
        <w:t>。</w:t>
      </w:r>
    </w:p>
    <w:p>
      <w:pPr>
        <w:ind w:firstLine="630"/>
        <w:jc w:val="left"/>
        <w:rPr>
          <w:rFonts w:hint="eastAsia" w:ascii="仿宋_GB2312" w:hAnsi="仿宋_GB2312" w:eastAsia="仿宋_GB2312"/>
          <w:sz w:val="32"/>
          <w:szCs w:val="30"/>
          <w:lang w:eastAsia="zh-CN"/>
        </w:rPr>
      </w:pPr>
      <w:r>
        <w:rPr>
          <w:rFonts w:hint="eastAsia" w:ascii="仿宋_GB2312" w:hAnsi="仿宋_GB2312" w:eastAsia="仿宋_GB2312"/>
          <w:sz w:val="32"/>
          <w:szCs w:val="30"/>
        </w:rPr>
        <w:t>（二）公务接待费支出年初预算数为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万元，决算数为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w:t>
      </w:r>
    </w:p>
    <w:p>
      <w:pPr>
        <w:ind w:firstLine="630"/>
        <w:jc w:val="left"/>
        <w:rPr>
          <w:rFonts w:hint="eastAsia" w:ascii="黑体" w:hAnsi="黑体" w:eastAsia="黑体"/>
          <w:sz w:val="32"/>
          <w:szCs w:val="30"/>
        </w:rPr>
      </w:pPr>
      <w:r>
        <w:rPr>
          <w:rFonts w:hint="eastAsia" w:ascii="仿宋_GB2312" w:hAnsi="仿宋_GB2312" w:eastAsia="仿宋_GB2312"/>
          <w:sz w:val="32"/>
          <w:szCs w:val="30"/>
        </w:rPr>
        <w:t xml:space="preserve">（三）公务用车购置及运行维护费支出  </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万元，其中公务用车购置年初预算数为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万元，决算数为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w:t>
      </w:r>
      <w:r>
        <w:rPr>
          <w:rFonts w:hint="eastAsia" w:ascii="仿宋_GB2312" w:hAnsi="仿宋_GB2312" w:eastAsia="仿宋_GB2312"/>
          <w:sz w:val="32"/>
          <w:szCs w:val="30"/>
          <w:lang w:val="en-US" w:eastAsia="zh-CN"/>
        </w:rPr>
        <w:t>.</w:t>
      </w:r>
      <w:r>
        <w:rPr>
          <w:rFonts w:hint="eastAsia" w:ascii="仿宋_GB2312" w:hAnsi="仿宋_GB2312" w:eastAsia="仿宋_GB2312"/>
          <w:sz w:val="32"/>
          <w:szCs w:val="30"/>
        </w:rPr>
        <w:t>公务用车运行维护费支出年初预算数为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万元，决算数为</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w:t>
      </w:r>
      <w:r>
        <w:rPr>
          <w:rFonts w:hint="eastAsia" w:ascii="黑体" w:hAnsi="黑体" w:eastAsia="黑体"/>
          <w:sz w:val="32"/>
          <w:szCs w:val="30"/>
        </w:rPr>
        <w:t>六、机关运行经费支出情况说明</w:t>
      </w:r>
    </w:p>
    <w:p>
      <w:pPr>
        <w:ind w:firstLine="630"/>
        <w:jc w:val="left"/>
        <w:rPr>
          <w:rFonts w:ascii="黑体" w:hAnsi="黑体" w:eastAsia="黑体"/>
          <w:sz w:val="32"/>
          <w:szCs w:val="30"/>
        </w:rPr>
      </w:pPr>
      <w:r>
        <w:rPr>
          <w:rFonts w:hint="eastAsia" w:ascii="仿宋_GB2312" w:hAnsi="仿宋_GB2312" w:eastAsia="仿宋_GB2312"/>
          <w:sz w:val="32"/>
          <w:szCs w:val="30"/>
        </w:rPr>
        <w:t xml:space="preserve">本部门2020年度机关运行经费支出 </w:t>
      </w:r>
      <w:r>
        <w:rPr>
          <w:rFonts w:hint="eastAsia" w:ascii="仿宋_GB2312" w:hAnsi="仿宋_GB2312" w:eastAsia="仿宋_GB2312"/>
          <w:sz w:val="32"/>
          <w:szCs w:val="30"/>
          <w:lang w:val="en-US" w:eastAsia="zh-CN"/>
        </w:rPr>
        <w:t>134.96</w:t>
      </w:r>
      <w:r>
        <w:rPr>
          <w:rFonts w:hint="eastAsia" w:ascii="仿宋_GB2312" w:hAnsi="仿宋_GB2312" w:eastAsia="仿宋_GB2312"/>
          <w:sz w:val="32"/>
          <w:szCs w:val="30"/>
        </w:rPr>
        <w:t xml:space="preserve"> 万元（与部门决算中行政单位和参照公务员法管理事业单位一般公共预算财政拨款基本支出中公用经费之和保持一致），较年初预算数增加</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万元，增长</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 xml:space="preserve"> %，主要原因是：办公设施设备购置经费减少</w:t>
      </w:r>
      <w:r>
        <w:rPr>
          <w:rFonts w:hint="eastAsia" w:ascii="仿宋_GB2312" w:hAnsi="仿宋_GB2312" w:eastAsia="仿宋_GB2312"/>
          <w:sz w:val="32"/>
          <w:szCs w:val="30"/>
          <w:lang w:eastAsia="zh-CN"/>
        </w:rPr>
        <w:t>及</w:t>
      </w:r>
      <w:r>
        <w:rPr>
          <w:rFonts w:hint="eastAsia" w:ascii="仿宋_GB2312" w:hAnsi="仿宋_GB2312" w:eastAsia="仿宋_GB2312"/>
          <w:sz w:val="32"/>
          <w:szCs w:val="30"/>
        </w:rPr>
        <w:t>落实过紧日子要求压减</w:t>
      </w:r>
      <w:r>
        <w:rPr>
          <w:rFonts w:hint="eastAsia" w:ascii="仿宋_GB2312" w:hAnsi="仿宋_GB2312" w:eastAsia="仿宋_GB2312"/>
          <w:sz w:val="32"/>
          <w:szCs w:val="30"/>
          <w:lang w:eastAsia="zh-CN"/>
        </w:rPr>
        <w:t>办公经费</w:t>
      </w:r>
      <w:r>
        <w:rPr>
          <w:rFonts w:hint="eastAsia" w:ascii="仿宋_GB2312" w:hAnsi="仿宋_GB2312" w:eastAsia="仿宋_GB2312"/>
          <w:sz w:val="32"/>
          <w:szCs w:val="30"/>
        </w:rPr>
        <w:t>支出</w:t>
      </w:r>
      <w:r>
        <w:rPr>
          <w:rFonts w:hint="eastAsia" w:ascii="仿宋_GB2312" w:hAnsi="仿宋_GB2312" w:eastAsia="仿宋_GB2312"/>
          <w:sz w:val="32"/>
          <w:szCs w:val="30"/>
          <w:lang w:eastAsia="zh-CN"/>
        </w:rPr>
        <w:t>。</w:t>
      </w: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8"/>
        <w:spacing w:line="600" w:lineRule="atLeast"/>
        <w:ind w:firstLine="600"/>
        <w:rPr>
          <w:rFonts w:hint="eastAsia" w:ascii="仿宋_GB2312" w:hAnsi="仿宋_GB2312" w:eastAsia="仿宋_GB2312"/>
          <w:sz w:val="32"/>
          <w:szCs w:val="30"/>
        </w:rPr>
      </w:pPr>
      <w:r>
        <w:rPr>
          <w:rFonts w:hint="eastAsia" w:ascii="仿宋_GB2312" w:hAnsi="仿宋_GB2312" w:eastAsia="仿宋_GB2312"/>
          <w:sz w:val="32"/>
          <w:szCs w:val="30"/>
        </w:rPr>
        <w:t xml:space="preserve">本部门2020年度政府采购支出总额 </w:t>
      </w:r>
      <w:r>
        <w:rPr>
          <w:rFonts w:hint="eastAsia" w:ascii="仿宋_GB2312" w:hAnsi="仿宋_GB2312" w:eastAsia="仿宋_GB2312"/>
          <w:sz w:val="32"/>
          <w:szCs w:val="30"/>
          <w:lang w:val="en-US" w:eastAsia="zh-CN"/>
        </w:rPr>
        <w:t>14.45</w:t>
      </w:r>
      <w:r>
        <w:rPr>
          <w:rFonts w:hint="eastAsia" w:ascii="仿宋_GB2312" w:hAnsi="仿宋_GB2312" w:eastAsia="仿宋_GB2312"/>
          <w:sz w:val="32"/>
          <w:szCs w:val="30"/>
        </w:rPr>
        <w:t xml:space="preserve"> 万元，其中：政府采购货物支出 </w:t>
      </w:r>
      <w:r>
        <w:rPr>
          <w:rFonts w:hint="eastAsia" w:ascii="仿宋_GB2312" w:hAnsi="仿宋_GB2312" w:eastAsia="仿宋_GB2312"/>
          <w:sz w:val="32"/>
          <w:szCs w:val="30"/>
          <w:lang w:val="en-US" w:eastAsia="zh-CN"/>
        </w:rPr>
        <w:t>14.45</w:t>
      </w:r>
      <w:r>
        <w:rPr>
          <w:rFonts w:hint="eastAsia" w:ascii="仿宋_GB2312" w:hAnsi="仿宋_GB2312" w:eastAsia="仿宋_GB2312"/>
          <w:sz w:val="32"/>
          <w:szCs w:val="30"/>
        </w:rPr>
        <w:t xml:space="preserve"> 万元</w:t>
      </w:r>
      <w:r>
        <w:rPr>
          <w:rFonts w:hint="eastAsia" w:ascii="仿宋_GB2312" w:hAnsi="仿宋_GB2312" w:eastAsia="仿宋_GB2312"/>
          <w:sz w:val="32"/>
          <w:szCs w:val="30"/>
          <w:lang w:eastAsia="zh-CN"/>
        </w:rPr>
        <w:t>。</w:t>
      </w:r>
      <w:r>
        <w:rPr>
          <w:rFonts w:hint="eastAsia" w:ascii="仿宋_GB2312" w:hAnsi="仿宋_GB2312" w:eastAsia="仿宋_GB2312"/>
          <w:sz w:val="32"/>
          <w:szCs w:val="30"/>
        </w:rPr>
        <w:t xml:space="preserve">授予中小企业合同金额  </w:t>
      </w:r>
      <w:r>
        <w:rPr>
          <w:rFonts w:hint="eastAsia" w:ascii="仿宋_GB2312" w:hAnsi="仿宋_GB2312" w:eastAsia="仿宋_GB2312"/>
          <w:sz w:val="32"/>
          <w:szCs w:val="30"/>
          <w:lang w:val="en-US" w:eastAsia="zh-CN"/>
        </w:rPr>
        <w:t>14.45</w:t>
      </w:r>
      <w:r>
        <w:rPr>
          <w:rFonts w:hint="eastAsia" w:ascii="仿宋_GB2312" w:hAnsi="仿宋_GB2312" w:eastAsia="仿宋_GB2312"/>
          <w:sz w:val="32"/>
          <w:szCs w:val="30"/>
        </w:rPr>
        <w:t>万元，占政府采购支出总额的</w:t>
      </w:r>
      <w:r>
        <w:rPr>
          <w:rFonts w:hint="eastAsia" w:ascii="仿宋_GB2312" w:hAnsi="仿宋_GB2312" w:eastAsia="仿宋_GB2312"/>
          <w:sz w:val="32"/>
          <w:szCs w:val="30"/>
          <w:lang w:val="en-US" w:eastAsia="zh-CN"/>
        </w:rPr>
        <w:t>100</w:t>
      </w:r>
      <w:r>
        <w:rPr>
          <w:rFonts w:hint="eastAsia" w:ascii="仿宋_GB2312" w:hAnsi="仿宋_GB2312" w:eastAsia="仿宋_GB2312"/>
          <w:sz w:val="32"/>
          <w:szCs w:val="30"/>
        </w:rPr>
        <w:t>%，（省级部门政府采购金额的计算口径为：本部门纳入2020年部门预算范围的各项政府采购支出金额之和，不包括涉密采购项目的支出金额。）</w:t>
      </w:r>
    </w:p>
    <w:p>
      <w:pPr>
        <w:ind w:firstLine="630"/>
        <w:jc w:val="left"/>
        <w:rPr>
          <w:rFonts w:hint="eastAsia" w:ascii="黑体" w:hAnsi="黑体" w:eastAsia="黑体"/>
          <w:sz w:val="32"/>
          <w:szCs w:val="30"/>
        </w:rPr>
      </w:pPr>
      <w:r>
        <w:rPr>
          <w:rFonts w:hint="eastAsia" w:ascii="黑体" w:hAnsi="黑体" w:eastAsia="黑体"/>
          <w:sz w:val="32"/>
          <w:szCs w:val="30"/>
        </w:rPr>
        <w:t>八、国有资产占用情况说明。</w:t>
      </w:r>
    </w:p>
    <w:p>
      <w:pPr>
        <w:ind w:firstLine="630"/>
        <w:jc w:val="left"/>
        <w:rPr>
          <w:rFonts w:hint="eastAsia" w:ascii="仿宋_GB2312" w:hAnsi="仿宋_GB2312" w:eastAsia="仿宋_GB2312"/>
          <w:kern w:val="0"/>
          <w:sz w:val="32"/>
          <w:szCs w:val="30"/>
          <w:lang w:val="en-US" w:eastAsia="zh-CN"/>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eastAsia="zh-CN"/>
        </w:rPr>
        <w:t>公开</w:t>
      </w:r>
      <w:r>
        <w:rPr>
          <w:rFonts w:hint="eastAsia" w:ascii="仿宋_GB2312" w:hAnsi="仿宋_GB2312" w:eastAsia="仿宋_GB2312"/>
          <w:kern w:val="0"/>
          <w:sz w:val="32"/>
          <w:szCs w:val="30"/>
          <w:lang w:val="en-US" w:eastAsia="zh-CN"/>
        </w:rPr>
        <w:t>10</w:t>
      </w:r>
      <w:r>
        <w:rPr>
          <w:rFonts w:hint="eastAsia" w:ascii="仿宋_GB2312" w:hAnsi="仿宋_GB2312" w:eastAsia="仿宋_GB2312"/>
          <w:kern w:val="0"/>
          <w:sz w:val="32"/>
          <w:szCs w:val="30"/>
        </w:rPr>
        <w:t>表《国有资产占用情况表》。</w:t>
      </w:r>
      <w:r>
        <w:rPr>
          <w:rFonts w:hint="eastAsia" w:ascii="仿宋_GB2312" w:hAnsi="仿宋" w:eastAsia="仿宋_GB2312" w:cs="Times New Roman"/>
          <w:kern w:val="2"/>
          <w:sz w:val="28"/>
          <w:szCs w:val="28"/>
          <w:lang w:val="en-US" w:eastAsia="zh-CN" w:bidi="ar-SA"/>
        </w:rPr>
        <w:t>本</w:t>
      </w:r>
      <w:r>
        <w:rPr>
          <w:rFonts w:hint="eastAsia" w:ascii="仿宋_GB2312" w:hAnsi="仿宋_GB2312" w:eastAsia="仿宋_GB2312"/>
          <w:kern w:val="0"/>
          <w:sz w:val="32"/>
          <w:szCs w:val="30"/>
          <w:lang w:val="en-US" w:eastAsia="zh-CN"/>
        </w:rPr>
        <w:t>部门共有车辆 0 辆，其中，副部（省）级及以上领导用车 0 辆、主要领导干部用车 0 辆、机要通信用车 0 辆、应急保障用车  0辆、执法执勤用车 0 辆、特种专业技术用车 0 辆、其他用车 0 辆，其他用车主要是无；单位价值50万元以上通用设备 0 台（套）；单位价值100万元以上专用设备 0 台（套）。</w:t>
      </w:r>
    </w:p>
    <w:p>
      <w:pPr>
        <w:ind w:firstLine="630"/>
        <w:jc w:val="left"/>
        <w:rPr>
          <w:rFonts w:hint="eastAsia"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hint="eastAsia"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40" w:firstLineChars="2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根据预算绩效管理要求，我部门组织对2020年度一般公共预算项目</w:t>
      </w:r>
      <w:r>
        <w:rPr>
          <w:rFonts w:hint="eastAsia" w:ascii="仿宋_GB2312" w:hAnsi="仿宋_GB2312" w:eastAsia="仿宋_GB2312" w:cs="仿宋_GB2312"/>
          <w:kern w:val="0"/>
          <w:sz w:val="32"/>
          <w:szCs w:val="30"/>
          <w:lang w:eastAsia="zh-CN"/>
        </w:rPr>
        <w:t>支出所有项目</w:t>
      </w:r>
      <w:r>
        <w:rPr>
          <w:rFonts w:hint="eastAsia" w:ascii="仿宋" w:hAnsi="仿宋" w:eastAsia="仿宋" w:cs="仿宋_GB2312"/>
          <w:kern w:val="0"/>
          <w:sz w:val="30"/>
          <w:szCs w:val="30"/>
        </w:rPr>
        <w:t>一级项目</w:t>
      </w:r>
      <w:r>
        <w:rPr>
          <w:rFonts w:hint="eastAsia" w:ascii="仿宋" w:hAnsi="仿宋" w:eastAsia="仿宋" w:cs="仿宋_GB2312"/>
          <w:kern w:val="0"/>
          <w:sz w:val="30"/>
          <w:szCs w:val="30"/>
          <w:lang w:val="en-US" w:eastAsia="zh-CN"/>
        </w:rPr>
        <w:t>3</w:t>
      </w:r>
      <w:r>
        <w:rPr>
          <w:rFonts w:hint="eastAsia" w:ascii="仿宋" w:hAnsi="仿宋" w:eastAsia="仿宋" w:cs="仿宋_GB2312"/>
          <w:kern w:val="0"/>
          <w:sz w:val="30"/>
          <w:szCs w:val="30"/>
        </w:rPr>
        <w:t>个，</w:t>
      </w:r>
      <w:r>
        <w:rPr>
          <w:rFonts w:hint="eastAsia" w:ascii="仿宋" w:hAnsi="仿宋" w:eastAsia="仿宋" w:cs="仿宋_GB2312"/>
          <w:kern w:val="0"/>
          <w:sz w:val="30"/>
          <w:szCs w:val="30"/>
          <w:lang w:eastAsia="zh-CN"/>
        </w:rPr>
        <w:t>二级项目</w:t>
      </w:r>
      <w:r>
        <w:rPr>
          <w:rFonts w:hint="eastAsia" w:ascii="仿宋" w:hAnsi="仿宋" w:eastAsia="仿宋" w:cs="仿宋_GB2312"/>
          <w:kern w:val="0"/>
          <w:sz w:val="30"/>
          <w:szCs w:val="30"/>
          <w:lang w:val="en-US" w:eastAsia="zh-CN"/>
        </w:rPr>
        <w:t>0个，一级</w:t>
      </w:r>
      <w:r>
        <w:rPr>
          <w:rFonts w:hint="eastAsia" w:ascii="仿宋" w:hAnsi="仿宋" w:eastAsia="仿宋" w:cs="仿宋_GB2312"/>
          <w:kern w:val="0"/>
          <w:sz w:val="30"/>
          <w:szCs w:val="30"/>
          <w:lang w:eastAsia="zh-CN"/>
        </w:rPr>
        <w:t>项目为城乡社区环境卫生、综合执法队工作经费、社区服务站工作经费全面展开绩效自评，</w:t>
      </w:r>
      <w:r>
        <w:rPr>
          <w:rFonts w:hint="eastAsia" w:ascii="仿宋" w:hAnsi="仿宋" w:eastAsia="仿宋" w:cs="仿宋_GB2312"/>
          <w:kern w:val="0"/>
          <w:sz w:val="30"/>
          <w:szCs w:val="30"/>
        </w:rPr>
        <w:t xml:space="preserve">涉及资金 </w:t>
      </w:r>
      <w:r>
        <w:rPr>
          <w:rFonts w:hint="eastAsia" w:ascii="仿宋" w:hAnsi="仿宋" w:eastAsia="仿宋" w:cs="仿宋_GB2312"/>
          <w:kern w:val="0"/>
          <w:sz w:val="30"/>
          <w:szCs w:val="30"/>
          <w:lang w:val="en-US" w:eastAsia="zh-CN"/>
        </w:rPr>
        <w:t>92.69</w:t>
      </w:r>
      <w:r>
        <w:rPr>
          <w:rFonts w:hint="eastAsia" w:ascii="仿宋" w:hAnsi="仿宋" w:eastAsia="仿宋" w:cs="仿宋_GB2312"/>
          <w:kern w:val="0"/>
          <w:sz w:val="30"/>
          <w:szCs w:val="30"/>
        </w:rPr>
        <w:t xml:space="preserve">万元，占一般公共预算项目支出总额的 </w:t>
      </w:r>
      <w:r>
        <w:rPr>
          <w:rFonts w:hint="eastAsia" w:ascii="仿宋" w:hAnsi="仿宋" w:eastAsia="仿宋" w:cs="仿宋_GB2312"/>
          <w:kern w:val="0"/>
          <w:sz w:val="30"/>
          <w:szCs w:val="30"/>
          <w:lang w:val="en-US" w:eastAsia="zh-CN"/>
        </w:rPr>
        <w:t>18.85</w:t>
      </w:r>
      <w:r>
        <w:rPr>
          <w:rFonts w:hint="eastAsia" w:ascii="仿宋" w:hAnsi="仿宋" w:eastAsia="仿宋" w:cs="仿宋_GB2312"/>
          <w:kern w:val="0"/>
          <w:sz w:val="30"/>
          <w:szCs w:val="30"/>
        </w:rPr>
        <w:t xml:space="preserve"> %。</w:t>
      </w:r>
    </w:p>
    <w:p>
      <w:pPr>
        <w:ind w:firstLine="560"/>
        <w:rPr>
          <w:rFonts w:hint="eastAsia" w:ascii="仿宋" w:hAnsi="仿宋" w:eastAsia="仿宋" w:cs="仿宋"/>
          <w:sz w:val="32"/>
          <w:szCs w:val="32"/>
        </w:rPr>
      </w:pPr>
      <w:r>
        <w:rPr>
          <w:rFonts w:hint="eastAsia" w:ascii="仿宋_GB2312" w:hAnsi="仿宋_GB2312" w:eastAsia="仿宋_GB2312" w:cs="仿宋_GB2312"/>
          <w:kern w:val="0"/>
          <w:sz w:val="32"/>
          <w:szCs w:val="30"/>
        </w:rPr>
        <w:t xml:space="preserve"> 组织对</w:t>
      </w:r>
      <w:r>
        <w:rPr>
          <w:rFonts w:hint="eastAsia" w:ascii="仿宋" w:hAnsi="仿宋" w:eastAsia="仿宋" w:cs="仿宋_GB2312"/>
          <w:kern w:val="0"/>
          <w:sz w:val="30"/>
          <w:szCs w:val="30"/>
          <w:lang w:eastAsia="zh-CN"/>
        </w:rPr>
        <w:t>城乡社区环境卫生、综合执法队工作经费、社区服务站</w:t>
      </w:r>
      <w:r>
        <w:rPr>
          <w:rFonts w:hint="eastAsia" w:ascii="仿宋_GB2312" w:hAnsi="仿宋_GB2312" w:eastAsia="仿宋_GB2312" w:cs="仿宋_GB2312"/>
          <w:kern w:val="0"/>
          <w:sz w:val="32"/>
          <w:szCs w:val="30"/>
          <w:lang w:eastAsia="zh-CN"/>
        </w:rPr>
        <w:t>一</w:t>
      </w:r>
      <w:r>
        <w:rPr>
          <w:rFonts w:hint="eastAsia" w:ascii="仿宋_GB2312" w:hAnsi="仿宋_GB2312" w:eastAsia="仿宋_GB2312" w:cs="仿宋_GB2312"/>
          <w:kern w:val="0"/>
          <w:sz w:val="32"/>
          <w:szCs w:val="30"/>
        </w:rPr>
        <w:t xml:space="preserve">个项目开展了部门评价，涉及一般公共预算支出 </w:t>
      </w:r>
      <w:r>
        <w:rPr>
          <w:rFonts w:hint="eastAsia" w:ascii="仿宋_GB2312" w:hAnsi="仿宋_GB2312" w:eastAsia="仿宋_GB2312" w:cs="仿宋_GB2312"/>
          <w:kern w:val="0"/>
          <w:sz w:val="32"/>
          <w:szCs w:val="30"/>
          <w:lang w:val="en-US" w:eastAsia="zh-CN"/>
        </w:rPr>
        <w:t>92.69</w:t>
      </w:r>
      <w:r>
        <w:rPr>
          <w:rFonts w:hint="eastAsia" w:ascii="仿宋_GB2312" w:hAnsi="仿宋_GB2312" w:eastAsia="仿宋_GB2312" w:cs="仿宋_GB2312"/>
          <w:kern w:val="0"/>
          <w:sz w:val="32"/>
          <w:szCs w:val="30"/>
        </w:rPr>
        <w:t xml:space="preserve"> 万元。从评价情况来看，</w:t>
      </w:r>
      <w:r>
        <w:rPr>
          <w:rFonts w:hint="eastAsia" w:ascii="仿宋" w:hAnsi="仿宋" w:eastAsia="仿宋" w:cs="仿宋"/>
          <w:sz w:val="32"/>
          <w:szCs w:val="32"/>
        </w:rPr>
        <w:t>本项目绩效评价总体评价为优秀。</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w:t>
      </w:r>
      <w:r>
        <w:rPr>
          <w:rFonts w:hint="eastAsia" w:ascii="仿宋_GB2312" w:hAnsi="仿宋_GB2312" w:eastAsia="仿宋_GB2312" w:cs="仿宋_GB2312"/>
          <w:kern w:val="0"/>
          <w:sz w:val="32"/>
          <w:szCs w:val="30"/>
          <w:lang w:eastAsia="zh-CN"/>
        </w:rPr>
        <w:t>了城乡社区环境卫生</w:t>
      </w:r>
      <w:r>
        <w:rPr>
          <w:rFonts w:hint="eastAsia" w:ascii="仿宋_GB2312" w:hAnsi="仿宋_GB2312" w:eastAsia="仿宋_GB2312" w:cs="仿宋_GB2312"/>
          <w:kern w:val="0"/>
          <w:sz w:val="32"/>
          <w:szCs w:val="30"/>
        </w:rPr>
        <w:t>项目绩效自评结果。</w:t>
      </w:r>
    </w:p>
    <w:p>
      <w:pPr>
        <w:pStyle w:val="4"/>
        <w:widowControl/>
        <w:spacing w:beforeAutospacing="0" w:afterAutospacing="0"/>
        <w:ind w:firstLine="640" w:firstLineChars="200"/>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lang w:eastAsia="zh-CN"/>
        </w:rPr>
        <w:t>城乡社区环境卫生</w:t>
      </w:r>
      <w:r>
        <w:rPr>
          <w:rFonts w:hint="eastAsia" w:ascii="仿宋_GB2312" w:hAnsi="仿宋_GB2312" w:eastAsia="仿宋_GB2312" w:cs="仿宋_GB2312"/>
          <w:kern w:val="0"/>
          <w:sz w:val="32"/>
          <w:szCs w:val="30"/>
        </w:rPr>
        <w:t>项目绩效自评综述：根据年初设定的绩效目标，</w:t>
      </w:r>
      <w:r>
        <w:rPr>
          <w:rFonts w:hint="eastAsia" w:ascii="仿宋_GB2312" w:hAnsi="仿宋_GB2312" w:eastAsia="仿宋_GB2312" w:cs="仿宋_GB2312"/>
          <w:kern w:val="0"/>
          <w:sz w:val="32"/>
          <w:szCs w:val="30"/>
          <w:lang w:eastAsia="zh-CN"/>
        </w:rPr>
        <w:t>城</w:t>
      </w:r>
      <w:r>
        <w:rPr>
          <w:rFonts w:hint="eastAsia" w:ascii="仿宋_GB2312" w:hAnsi="仿宋_GB2312" w:eastAsia="仿宋_GB2312" w:cs="仿宋_GB2312"/>
          <w:kern w:val="0"/>
          <w:sz w:val="32"/>
          <w:szCs w:val="30"/>
        </w:rPr>
        <w:t xml:space="preserve">项目绩效自评得分为 </w:t>
      </w:r>
      <w:r>
        <w:rPr>
          <w:rFonts w:hint="eastAsia" w:ascii="仿宋_GB2312" w:hAnsi="仿宋_GB2312" w:eastAsia="仿宋_GB2312" w:cs="仿宋_GB2312"/>
          <w:kern w:val="0"/>
          <w:sz w:val="32"/>
          <w:szCs w:val="30"/>
          <w:lang w:val="en-US" w:eastAsia="zh-CN"/>
        </w:rPr>
        <w:t>95</w:t>
      </w:r>
      <w:r>
        <w:rPr>
          <w:rFonts w:hint="eastAsia" w:ascii="仿宋_GB2312" w:hAnsi="仿宋_GB2312" w:eastAsia="仿宋_GB2312" w:cs="仿宋_GB2312"/>
          <w:kern w:val="0"/>
          <w:sz w:val="32"/>
          <w:szCs w:val="30"/>
        </w:rPr>
        <w:t xml:space="preserve"> 分。项目全年预算数为 </w:t>
      </w:r>
      <w:r>
        <w:rPr>
          <w:rFonts w:hint="eastAsia" w:ascii="仿宋_GB2312" w:hAnsi="仿宋_GB2312" w:eastAsia="仿宋_GB2312" w:cs="仿宋_GB2312"/>
          <w:kern w:val="0"/>
          <w:sz w:val="32"/>
          <w:szCs w:val="30"/>
          <w:lang w:val="en-US" w:eastAsia="zh-CN"/>
        </w:rPr>
        <w:t>46.69</w:t>
      </w:r>
      <w:r>
        <w:rPr>
          <w:rFonts w:hint="eastAsia" w:ascii="仿宋_GB2312" w:hAnsi="仿宋_GB2312" w:eastAsia="仿宋_GB2312" w:cs="仿宋_GB2312"/>
          <w:kern w:val="0"/>
          <w:sz w:val="32"/>
          <w:szCs w:val="30"/>
        </w:rPr>
        <w:t xml:space="preserve"> 万元，执行数为</w:t>
      </w:r>
      <w:r>
        <w:rPr>
          <w:rFonts w:hint="eastAsia" w:ascii="仿宋_GB2312" w:hAnsi="仿宋_GB2312" w:eastAsia="仿宋_GB2312" w:cs="仿宋_GB2312"/>
          <w:kern w:val="0"/>
          <w:sz w:val="32"/>
          <w:szCs w:val="30"/>
          <w:lang w:val="en-US" w:eastAsia="zh-CN"/>
        </w:rPr>
        <w:t>111.47</w:t>
      </w:r>
      <w:r>
        <w:rPr>
          <w:rFonts w:hint="eastAsia" w:ascii="仿宋_GB2312" w:hAnsi="仿宋_GB2312" w:eastAsia="仿宋_GB2312" w:cs="仿宋_GB2312"/>
          <w:kern w:val="0"/>
          <w:sz w:val="32"/>
          <w:szCs w:val="30"/>
        </w:rPr>
        <w:t xml:space="preserve">万元，完成预算的 </w:t>
      </w:r>
      <w:r>
        <w:rPr>
          <w:rFonts w:hint="eastAsia" w:ascii="仿宋_GB2312" w:hAnsi="仿宋_GB2312" w:eastAsia="仿宋_GB2312" w:cs="仿宋_GB2312"/>
          <w:kern w:val="0"/>
          <w:sz w:val="32"/>
          <w:szCs w:val="30"/>
          <w:lang w:val="en-US" w:eastAsia="zh-CN"/>
        </w:rPr>
        <w:t>100</w:t>
      </w:r>
      <w:r>
        <w:rPr>
          <w:rFonts w:hint="eastAsia" w:ascii="仿宋_GB2312" w:hAnsi="仿宋_GB2312" w:eastAsia="仿宋_GB2312" w:cs="仿宋_GB2312"/>
          <w:kern w:val="0"/>
          <w:sz w:val="32"/>
          <w:szCs w:val="30"/>
        </w:rPr>
        <w:t xml:space="preserve"> %。主要产出和效果：</w:t>
      </w:r>
      <w:r>
        <w:rPr>
          <w:rFonts w:hint="eastAsia" w:ascii="仿宋_GB2312" w:hAnsi="仿宋_GB2312" w:eastAsia="仿宋_GB2312" w:cs="仿宋_GB2312"/>
          <w:kern w:val="0"/>
          <w:sz w:val="32"/>
          <w:szCs w:val="30"/>
          <w:lang w:eastAsia="zh-CN"/>
        </w:rPr>
        <w:t>一是</w:t>
      </w:r>
      <w:r>
        <w:rPr>
          <w:rFonts w:hint="eastAsia" w:ascii="仿宋_GB2312" w:hAnsi="仿宋_GB2312" w:eastAsia="仿宋_GB2312" w:cs="仿宋_GB2312"/>
          <w:kern w:val="0"/>
          <w:sz w:val="32"/>
          <w:szCs w:val="30"/>
          <w:lang w:val="en-US" w:eastAsia="zh-CN"/>
        </w:rPr>
        <w:t>提升了街道整体形象，城市小区卫生、秩序更加干净整洁，二是</w:t>
      </w:r>
      <w:r>
        <w:rPr>
          <w:rFonts w:hint="eastAsia" w:ascii="仿宋_GB2312" w:hAnsi="仿宋_GB2312" w:eastAsia="仿宋_GB2312" w:cs="仿宋_GB2312"/>
          <w:kern w:val="0"/>
          <w:sz w:val="32"/>
          <w:szCs w:val="30"/>
        </w:rPr>
        <w:t>实现</w:t>
      </w:r>
      <w:r>
        <w:rPr>
          <w:rFonts w:hint="eastAsia" w:ascii="仿宋_GB2312" w:hAnsi="仿宋_GB2312" w:eastAsia="仿宋_GB2312" w:cs="仿宋_GB2312"/>
          <w:kern w:val="0"/>
          <w:sz w:val="32"/>
          <w:szCs w:val="30"/>
          <w:lang w:eastAsia="zh-CN"/>
        </w:rPr>
        <w:t>了</w:t>
      </w:r>
      <w:r>
        <w:rPr>
          <w:rFonts w:hint="eastAsia" w:ascii="仿宋_GB2312" w:hAnsi="仿宋_GB2312" w:eastAsia="仿宋_GB2312" w:cs="仿宋_GB2312"/>
          <w:kern w:val="0"/>
          <w:sz w:val="32"/>
          <w:szCs w:val="30"/>
        </w:rPr>
        <w:t>“三个及时”，使社区环境有明显变化，即：垃圾及时清理、楼道庭院及时清扫、废弃杂物及时清除。</w:t>
      </w:r>
      <w:r>
        <w:rPr>
          <w:rFonts w:hint="eastAsia" w:ascii="仿宋_GB2312" w:hAnsi="仿宋_GB2312" w:eastAsia="仿宋_GB2312" w:cs="仿宋_GB2312"/>
          <w:kern w:val="0"/>
          <w:sz w:val="32"/>
          <w:szCs w:val="30"/>
          <w:lang w:val="en-US" w:eastAsia="zh-CN"/>
        </w:rPr>
        <w:t>三是项目实施以来产生了良好的社会效益，对辖区环境卫生产生了积极的影响，居民满意度达到95%以上。</w:t>
      </w:r>
      <w:r>
        <w:rPr>
          <w:rFonts w:hint="eastAsia" w:ascii="仿宋_GB2312" w:hAnsi="仿宋_GB2312" w:eastAsia="仿宋_GB2312" w:cs="仿宋_GB2312"/>
          <w:kern w:val="0"/>
          <w:sz w:val="32"/>
          <w:szCs w:val="30"/>
        </w:rPr>
        <w:t>发现的问题及原因：一是</w:t>
      </w:r>
      <w:r>
        <w:rPr>
          <w:rFonts w:hint="eastAsia" w:ascii="仿宋_GB2312" w:hAnsi="仿宋_GB2312" w:eastAsia="仿宋_GB2312" w:cs="仿宋_GB2312"/>
          <w:kern w:val="0"/>
          <w:sz w:val="32"/>
          <w:szCs w:val="30"/>
          <w:lang w:val="en-US" w:eastAsia="zh-CN"/>
        </w:rPr>
        <w:t>人员经费投入大，预算严重不足</w:t>
      </w:r>
      <w:r>
        <w:rPr>
          <w:rFonts w:hint="eastAsia" w:ascii="仿宋_GB2312" w:hAnsi="仿宋_GB2312" w:eastAsia="仿宋_GB2312" w:cs="仿宋_GB2312"/>
          <w:kern w:val="0"/>
          <w:sz w:val="32"/>
          <w:szCs w:val="30"/>
        </w:rPr>
        <w:t>；二是</w:t>
      </w:r>
      <w:r>
        <w:rPr>
          <w:rFonts w:hint="eastAsia" w:ascii="仿宋_GB2312" w:hAnsi="仿宋_GB2312" w:eastAsia="仿宋_GB2312" w:cs="仿宋_GB2312"/>
          <w:kern w:val="0"/>
          <w:sz w:val="32"/>
          <w:szCs w:val="30"/>
          <w:lang w:eastAsia="zh-CN"/>
        </w:rPr>
        <w:t>我街道</w:t>
      </w:r>
      <w:r>
        <w:rPr>
          <w:rFonts w:hint="eastAsia" w:ascii="仿宋_GB2312" w:hAnsi="仿宋_GB2312" w:eastAsia="仿宋_GB2312" w:cs="仿宋_GB2312"/>
          <w:kern w:val="0"/>
          <w:sz w:val="32"/>
          <w:szCs w:val="30"/>
          <w:lang w:val="en-US" w:eastAsia="zh-CN"/>
        </w:rPr>
        <w:t>作为南昌市典型的老城区，居民人口密集度大、背街小巷庭院较多、环境卫生治理难度大，业务量多</w:t>
      </w:r>
      <w:r>
        <w:rPr>
          <w:rFonts w:hint="eastAsia" w:ascii="仿宋_GB2312" w:hAnsi="仿宋_GB2312" w:eastAsia="仿宋_GB2312" w:cs="仿宋_GB2312"/>
          <w:kern w:val="0"/>
          <w:sz w:val="32"/>
          <w:szCs w:val="30"/>
        </w:rPr>
        <w:t>。下一步改进措施：</w:t>
      </w:r>
      <w:r>
        <w:rPr>
          <w:rFonts w:hint="eastAsia" w:ascii="仿宋_GB2312" w:hAnsi="仿宋_GB2312" w:eastAsia="仿宋_GB2312" w:cs="仿宋_GB2312"/>
          <w:kern w:val="0"/>
          <w:sz w:val="32"/>
          <w:szCs w:val="30"/>
          <w:lang w:val="en-US" w:eastAsia="zh-CN"/>
        </w:rPr>
        <w:t>合</w:t>
      </w:r>
      <w:r>
        <w:rPr>
          <w:rFonts w:hint="eastAsia" w:ascii="仿宋_GB2312" w:hAnsi="仿宋_GB2312" w:eastAsia="仿宋_GB2312" w:cs="仿宋_GB2312"/>
          <w:kern w:val="0"/>
          <w:sz w:val="32"/>
          <w:szCs w:val="30"/>
          <w:lang w:val="en-US" w:eastAsia="zh-CN"/>
        </w:rPr>
        <w:t>理核定项目收入与支出，加强财务核算，完善项目资金分配、对超出预算费用进行研判，合理优化人员配置和资金使用，尽最大努力缩小收支差距。加大宣传对生活垃圾定点投放，推进垃圾入桶进箱（池），实现全方位、全天候、全覆盖的保洁管理。</w:t>
      </w:r>
    </w:p>
    <w:p>
      <w:pPr>
        <w:widowControl/>
        <w:spacing w:line="600" w:lineRule="exact"/>
        <w:ind w:firstLine="640"/>
        <w:jc w:val="both"/>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rPr>
        <w:t xml:space="preserve">（ </w:t>
      </w:r>
      <w:r>
        <w:rPr>
          <w:rFonts w:hint="eastAsia" w:ascii="黑体" w:hAnsi="黑体" w:eastAsia="黑体" w:cs="黑体"/>
          <w:color w:val="000000"/>
          <w:kern w:val="0"/>
          <w:sz w:val="20"/>
          <w:szCs w:val="20"/>
          <w:lang w:val="en-US" w:eastAsia="zh-CN"/>
        </w:rPr>
        <w:t>2020</w:t>
      </w:r>
      <w:r>
        <w:rPr>
          <w:rFonts w:hint="eastAsia" w:ascii="黑体" w:hAnsi="黑体" w:eastAsia="黑体" w:cs="黑体"/>
          <w:color w:val="000000"/>
          <w:kern w:val="0"/>
          <w:sz w:val="20"/>
          <w:szCs w:val="20"/>
        </w:rPr>
        <w:t>年度）</w:t>
      </w:r>
    </w:p>
    <w:tbl>
      <w:tblPr>
        <w:tblStyle w:val="5"/>
        <w:tblW w:w="9250" w:type="dxa"/>
        <w:jc w:val="center"/>
        <w:tblLayout w:type="fixed"/>
        <w:tblCellMar>
          <w:top w:w="0" w:type="dxa"/>
          <w:left w:w="108" w:type="dxa"/>
          <w:bottom w:w="0" w:type="dxa"/>
          <w:right w:w="108" w:type="dxa"/>
        </w:tblCellMar>
      </w:tblPr>
      <w:tblGrid>
        <w:gridCol w:w="586"/>
        <w:gridCol w:w="754"/>
        <w:gridCol w:w="1535"/>
        <w:gridCol w:w="518"/>
        <w:gridCol w:w="1265"/>
        <w:gridCol w:w="242"/>
        <w:gridCol w:w="1017"/>
        <w:gridCol w:w="903"/>
        <w:gridCol w:w="203"/>
        <w:gridCol w:w="232"/>
        <w:gridCol w:w="384"/>
        <w:gridCol w:w="98"/>
        <w:gridCol w:w="686"/>
        <w:gridCol w:w="827"/>
      </w:tblGrid>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项目名称</w:t>
            </w:r>
          </w:p>
        </w:tc>
        <w:tc>
          <w:tcPr>
            <w:tcW w:w="791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袋装垃圾员经费</w:t>
            </w:r>
          </w:p>
        </w:tc>
      </w:tr>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主管部门</w:t>
            </w:r>
          </w:p>
        </w:tc>
        <w:tc>
          <w:tcPr>
            <w:tcW w:w="457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西湖街道办事处</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实施单位</w:t>
            </w:r>
          </w:p>
        </w:tc>
        <w:tc>
          <w:tcPr>
            <w:tcW w:w="22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西湖街道办事处</w:t>
            </w:r>
          </w:p>
        </w:tc>
      </w:tr>
      <w:tr>
        <w:tblPrEx>
          <w:tblCellMar>
            <w:top w:w="0" w:type="dxa"/>
            <w:left w:w="108" w:type="dxa"/>
            <w:bottom w:w="0" w:type="dxa"/>
            <w:right w:w="108" w:type="dxa"/>
          </w:tblCellMar>
        </w:tblPrEx>
        <w:trPr>
          <w:trHeight w:val="403" w:hRule="atLeast"/>
          <w:jc w:val="center"/>
        </w:trPr>
        <w:tc>
          <w:tcPr>
            <w:tcW w:w="13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项目资金</w:t>
            </w:r>
            <w:r>
              <w:rPr>
                <w:rFonts w:hint="eastAsia" w:ascii="黑体" w:hAnsi="黑体" w:eastAsia="黑体" w:cs="黑体"/>
                <w:color w:val="000000"/>
                <w:kern w:val="0"/>
                <w:sz w:val="20"/>
                <w:szCs w:val="20"/>
              </w:rPr>
              <w:br w:type="textWrapping"/>
            </w:r>
            <w:r>
              <w:rPr>
                <w:rFonts w:hint="eastAsia" w:ascii="黑体" w:hAnsi="黑体" w:eastAsia="黑体" w:cs="黑体"/>
                <w:color w:val="000000"/>
                <w:kern w:val="0"/>
                <w:sz w:val="20"/>
                <w:szCs w:val="20"/>
              </w:rPr>
              <w:t>（万元）</w:t>
            </w: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年初预算数</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全年预算数</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全年执行数</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分值</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执行率</w:t>
            </w:r>
          </w:p>
        </w:tc>
        <w:tc>
          <w:tcPr>
            <w:tcW w:w="8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得分</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年度资金总额</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111.4798</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10</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100%</w:t>
            </w:r>
          </w:p>
        </w:tc>
        <w:tc>
          <w:tcPr>
            <w:tcW w:w="8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w:t>
            </w:r>
          </w:p>
        </w:tc>
      </w:tr>
      <w:tr>
        <w:tblPrEx>
          <w:tblCellMar>
            <w:top w:w="0" w:type="dxa"/>
            <w:left w:w="108" w:type="dxa"/>
            <w:bottom w:w="0" w:type="dxa"/>
            <w:right w:w="108" w:type="dxa"/>
          </w:tblCellMar>
        </w:tblPrEx>
        <w:trPr>
          <w:trHeight w:val="291"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其中：当年财政拨款</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46.6944</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46.6944</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46.6944</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p>
        </w:tc>
        <w:tc>
          <w:tcPr>
            <w:tcW w:w="8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w:t>
            </w:r>
          </w:p>
        </w:tc>
      </w:tr>
      <w:tr>
        <w:tblPrEx>
          <w:tblCellMar>
            <w:top w:w="0" w:type="dxa"/>
            <w:left w:w="108" w:type="dxa"/>
            <w:bottom w:w="0" w:type="dxa"/>
            <w:right w:w="108" w:type="dxa"/>
          </w:tblCellMar>
        </w:tblPrEx>
        <w:trPr>
          <w:trHeight w:val="277"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 xml:space="preserve">      上年结转资金</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8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 xml:space="preserve">  其他资金</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.22.8884</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22.8884</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64.7854</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8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w:t>
            </w:r>
          </w:p>
        </w:tc>
      </w:tr>
      <w:tr>
        <w:tblPrEx>
          <w:tblCellMar>
            <w:top w:w="0" w:type="dxa"/>
            <w:left w:w="108" w:type="dxa"/>
            <w:bottom w:w="0" w:type="dxa"/>
            <w:right w:w="108" w:type="dxa"/>
          </w:tblCellMar>
        </w:tblPrEx>
        <w:trPr>
          <w:trHeight w:val="302" w:hRule="exact"/>
          <w:jc w:val="center"/>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年度总体目标</w:t>
            </w: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预期目标</w:t>
            </w:r>
          </w:p>
        </w:tc>
        <w:tc>
          <w:tcPr>
            <w:tcW w:w="333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实际完成情况</w:t>
            </w:r>
          </w:p>
        </w:tc>
      </w:tr>
      <w:tr>
        <w:tblPrEx>
          <w:tblCellMar>
            <w:top w:w="0" w:type="dxa"/>
            <w:left w:w="108" w:type="dxa"/>
            <w:bottom w:w="0" w:type="dxa"/>
            <w:right w:w="108" w:type="dxa"/>
          </w:tblCellMar>
        </w:tblPrEx>
        <w:trPr>
          <w:trHeight w:val="1799" w:hRule="exact"/>
          <w:jc w:val="center"/>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根据市、区的有关精神,针对辖区环境卫生现状，明确目标，切实把环境卫生长效管理落到实处.强化日常保洁管理。进一步规范环卫作业质量管理标准，做到路面全程监控，最终达到环卫保洁及时到位的目的，加大整治力度，完善监督工作和奖惩机制，促进管理水平和保洁质量的提高。强化日常巡查、加大检查考核力度，对一些重点地段、重点路段反复发生的问题实行严防政策,加大社会宣传工作力度.</w:t>
            </w:r>
          </w:p>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333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eastAsia="zh-CN"/>
              </w:rPr>
              <w:t>按照年初设定的目标，将辖区内</w:t>
            </w:r>
            <w:r>
              <w:rPr>
                <w:rFonts w:hint="eastAsia" w:ascii="黑体" w:hAnsi="黑体" w:eastAsia="黑体" w:cs="黑体"/>
                <w:color w:val="000000"/>
                <w:kern w:val="0"/>
                <w:sz w:val="20"/>
                <w:szCs w:val="20"/>
                <w:lang w:val="en-US" w:eastAsia="zh-CN"/>
              </w:rPr>
              <w:t>456个单元楼道做到环卫保洁全覆盖，使辖区环境卫生更加优美，为建设全国文明城区及建设美丽西湖做出了贡献。</w:t>
            </w:r>
          </w:p>
        </w:tc>
      </w:tr>
      <w:tr>
        <w:tblPrEx>
          <w:tblCellMar>
            <w:top w:w="0" w:type="dxa"/>
            <w:left w:w="108" w:type="dxa"/>
            <w:bottom w:w="0" w:type="dxa"/>
            <w:right w:w="108" w:type="dxa"/>
          </w:tblCellMar>
        </w:tblPrEx>
        <w:trPr>
          <w:trHeight w:val="735" w:hRule="exact"/>
          <w:jc w:val="center"/>
        </w:trPr>
        <w:tc>
          <w:tcPr>
            <w:tcW w:w="58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绩</w:t>
            </w:r>
            <w:r>
              <w:rPr>
                <w:rFonts w:hint="eastAsia" w:ascii="黑体" w:hAnsi="黑体" w:eastAsia="黑体" w:cs="黑体"/>
                <w:color w:val="000000"/>
                <w:kern w:val="0"/>
                <w:sz w:val="20"/>
                <w:szCs w:val="20"/>
              </w:rPr>
              <w:br w:type="textWrapping"/>
            </w:r>
            <w:r>
              <w:rPr>
                <w:rFonts w:hint="eastAsia" w:ascii="黑体" w:hAnsi="黑体" w:eastAsia="黑体" w:cs="黑体"/>
                <w:color w:val="000000"/>
                <w:kern w:val="0"/>
                <w:sz w:val="20"/>
                <w:szCs w:val="20"/>
              </w:rPr>
              <w:t>效</w:t>
            </w:r>
            <w:r>
              <w:rPr>
                <w:rFonts w:hint="eastAsia" w:ascii="黑体" w:hAnsi="黑体" w:eastAsia="黑体" w:cs="黑体"/>
                <w:color w:val="000000"/>
                <w:kern w:val="0"/>
                <w:sz w:val="20"/>
                <w:szCs w:val="20"/>
              </w:rPr>
              <w:br w:type="textWrapping"/>
            </w:r>
            <w:r>
              <w:rPr>
                <w:rFonts w:hint="eastAsia" w:ascii="黑体" w:hAnsi="黑体" w:eastAsia="黑体" w:cs="黑体"/>
                <w:color w:val="000000"/>
                <w:kern w:val="0"/>
                <w:sz w:val="20"/>
                <w:szCs w:val="20"/>
              </w:rPr>
              <w:t>指</w:t>
            </w:r>
            <w:r>
              <w:rPr>
                <w:rFonts w:hint="eastAsia" w:ascii="黑体" w:hAnsi="黑体" w:eastAsia="黑体" w:cs="黑体"/>
                <w:color w:val="000000"/>
                <w:kern w:val="0"/>
                <w:sz w:val="20"/>
                <w:szCs w:val="20"/>
              </w:rPr>
              <w:br w:type="textWrapping"/>
            </w:r>
            <w:r>
              <w:rPr>
                <w:rFonts w:hint="eastAsia" w:ascii="黑体" w:hAnsi="黑体" w:eastAsia="黑体" w:cs="黑体"/>
                <w:color w:val="000000"/>
                <w:kern w:val="0"/>
                <w:sz w:val="20"/>
                <w:szCs w:val="20"/>
              </w:rPr>
              <w:t>标</w:t>
            </w:r>
          </w:p>
        </w:tc>
        <w:tc>
          <w:tcPr>
            <w:tcW w:w="75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一级</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tc>
        <w:tc>
          <w:tcPr>
            <w:tcW w:w="15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二级指标</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三级指标</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年度</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指标值</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实际</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完成值</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分值</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得分</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偏差原因分析及改进措施</w:t>
            </w:r>
          </w:p>
        </w:tc>
      </w:tr>
      <w:tr>
        <w:tblPrEx>
          <w:tblCellMar>
            <w:top w:w="0" w:type="dxa"/>
            <w:left w:w="108" w:type="dxa"/>
            <w:bottom w:w="0" w:type="dxa"/>
            <w:right w:w="108" w:type="dxa"/>
          </w:tblCellMar>
        </w:tblPrEx>
        <w:trPr>
          <w:trHeight w:val="55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产出</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(50分）</w:t>
            </w:r>
          </w:p>
        </w:tc>
        <w:tc>
          <w:tcPr>
            <w:tcW w:w="1535"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数量指标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（20分）</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每日楼道清理垃圾约1.1吨</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396吨</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400吨</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42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质量指标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（15分）</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楼道垃圾清理情况</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日产日清</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100%</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7</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7</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54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楼道垃圾清理覆盖率</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456个单元全覆盖</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全覆盖</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8</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8</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70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时效指标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（5分）</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庭院保洁员考核</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每日保证8小时工作时间</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100%</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144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成本指标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（10分）</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项目支出成本</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69.5828万元</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111.4798</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8</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rPr>
              <w:t>由于疫情后复工复产和地摊经济、夜市的复苏垃圾增多</w:t>
            </w:r>
            <w:r>
              <w:rPr>
                <w:rFonts w:hint="eastAsia" w:ascii="黑体" w:hAnsi="黑体" w:eastAsia="黑体" w:cs="黑体"/>
                <w:color w:val="000000"/>
                <w:kern w:val="0"/>
                <w:sz w:val="20"/>
                <w:szCs w:val="20"/>
                <w:lang w:eastAsia="zh-CN"/>
              </w:rPr>
              <w:t>，使环卫工人工作时间延长</w:t>
            </w:r>
          </w:p>
        </w:tc>
      </w:tr>
      <w:tr>
        <w:tblPrEx>
          <w:tblCellMar>
            <w:top w:w="0" w:type="dxa"/>
            <w:left w:w="108" w:type="dxa"/>
            <w:bottom w:w="0" w:type="dxa"/>
            <w:right w:w="108" w:type="dxa"/>
          </w:tblCellMar>
        </w:tblPrEx>
        <w:trPr>
          <w:trHeight w:val="46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效益</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(30分）</w:t>
            </w:r>
          </w:p>
        </w:tc>
        <w:tc>
          <w:tcPr>
            <w:tcW w:w="1535"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经济效益</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right="-63" w:rightChars="-30"/>
              <w:jc w:val="left"/>
              <w:rPr>
                <w:rFonts w:hint="eastAsia" w:ascii="黑体" w:hAnsi="黑体" w:eastAsia="黑体" w:cs="黑体"/>
                <w:color w:val="000000"/>
                <w:kern w:val="0"/>
                <w:sz w:val="20"/>
                <w:szCs w:val="20"/>
              </w:rPr>
            </w:pP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43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社会效益</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改善居住环境的影响</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效果明显</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明显提高</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7.5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7.5</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37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庭院保洁员工资保障</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100%</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100%</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7.5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7.5</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49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生态效益</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对环境的影响</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效果明显</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效果显著</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40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可持续影响指标</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加强庭院楼道垃圾清理</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长期</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eastAsia="zh-CN"/>
              </w:rPr>
            </w:pPr>
            <w:r>
              <w:rPr>
                <w:rFonts w:hint="eastAsia" w:ascii="黑体" w:hAnsi="黑体" w:eastAsia="黑体" w:cs="黑体"/>
                <w:color w:val="000000"/>
                <w:kern w:val="0"/>
                <w:sz w:val="20"/>
                <w:szCs w:val="20"/>
                <w:lang w:eastAsia="zh-CN"/>
              </w:rPr>
              <w:t>长期</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40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满意度</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指标</w:t>
            </w:r>
          </w:p>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(10分）</w:t>
            </w:r>
          </w:p>
        </w:tc>
        <w:tc>
          <w:tcPr>
            <w:tcW w:w="153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服务对象满意度指标（10分）</w:t>
            </w: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居民群众满意度</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满意</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95%</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42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754"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153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c>
          <w:tcPr>
            <w:tcW w:w="20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szCs w:val="20"/>
              </w:rPr>
            </w:pPr>
            <w:r>
              <w:rPr>
                <w:rFonts w:hint="eastAsia" w:ascii="黑体" w:hAnsi="黑体" w:eastAsia="黑体" w:cs="黑体"/>
                <w:sz w:val="20"/>
                <w:szCs w:val="20"/>
              </w:rPr>
              <w:t>社会公众的评价</w:t>
            </w:r>
          </w:p>
        </w:tc>
        <w:tc>
          <w:tcPr>
            <w:tcW w:w="101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优</w:t>
            </w:r>
          </w:p>
        </w:tc>
        <w:tc>
          <w:tcPr>
            <w:tcW w:w="90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95%</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5</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4</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r>
        <w:tblPrEx>
          <w:tblCellMar>
            <w:top w:w="0" w:type="dxa"/>
            <w:left w:w="108" w:type="dxa"/>
            <w:bottom w:w="0" w:type="dxa"/>
            <w:right w:w="108" w:type="dxa"/>
          </w:tblCellMar>
        </w:tblPrEx>
        <w:trPr>
          <w:trHeight w:val="557" w:hRule="exact"/>
          <w:jc w:val="center"/>
        </w:trPr>
        <w:tc>
          <w:tcPr>
            <w:tcW w:w="682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总分</w:t>
            </w:r>
          </w:p>
        </w:tc>
        <w:tc>
          <w:tcPr>
            <w:tcW w:w="435"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r>
              <w:rPr>
                <w:rFonts w:hint="eastAsia" w:ascii="黑体" w:hAnsi="黑体" w:eastAsia="黑体" w:cs="黑体"/>
                <w:color w:val="000000"/>
                <w:kern w:val="0"/>
                <w:sz w:val="20"/>
                <w:szCs w:val="20"/>
              </w:rPr>
              <w:t>100</w:t>
            </w:r>
          </w:p>
        </w:tc>
        <w:tc>
          <w:tcPr>
            <w:tcW w:w="482"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lang w:val="en-US" w:eastAsia="zh-CN"/>
              </w:rPr>
            </w:pPr>
            <w:r>
              <w:rPr>
                <w:rFonts w:hint="eastAsia" w:ascii="黑体" w:hAnsi="黑体" w:eastAsia="黑体" w:cs="黑体"/>
                <w:color w:val="000000"/>
                <w:kern w:val="0"/>
                <w:sz w:val="20"/>
                <w:szCs w:val="20"/>
                <w:lang w:val="en-US" w:eastAsia="zh-CN"/>
              </w:rPr>
              <w:t>95</w:t>
            </w: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szCs w:val="20"/>
              </w:rPr>
            </w:pPr>
          </w:p>
        </w:tc>
      </w:tr>
    </w:tbl>
    <w:p>
      <w:pPr>
        <w:widowControl/>
        <w:spacing w:line="600" w:lineRule="exact"/>
        <w:ind w:firstLine="640"/>
        <w:jc w:val="both"/>
        <w:rPr>
          <w:rFonts w:hint="eastAsia" w:ascii="黑体" w:hAnsi="黑体" w:eastAsia="黑体"/>
          <w:b w:val="0"/>
          <w:bCs/>
          <w:sz w:val="32"/>
          <w:szCs w:val="32"/>
        </w:rPr>
      </w:pPr>
      <w:r>
        <w:rPr>
          <w:rFonts w:hint="eastAsia" w:ascii="黑体" w:hAnsi="黑体" w:eastAsia="黑体"/>
          <w:b w:val="0"/>
          <w:bCs/>
          <w:sz w:val="32"/>
          <w:szCs w:val="32"/>
        </w:rPr>
        <w:br w:type="page"/>
      </w:r>
      <w:r>
        <w:rPr>
          <w:rFonts w:hint="eastAsia" w:ascii="黑体" w:hAnsi="黑体" w:eastAsia="黑体"/>
          <w:b w:val="0"/>
          <w:bCs/>
          <w:sz w:val="36"/>
          <w:szCs w:val="36"/>
        </w:rPr>
        <w:t>第四部分</w:t>
      </w:r>
      <w:r>
        <w:rPr>
          <w:rFonts w:hint="eastAsia" w:ascii="黑体" w:hAnsi="黑体" w:eastAsia="黑体"/>
          <w:b w:val="0"/>
          <w:bCs/>
          <w:sz w:val="32"/>
          <w:szCs w:val="32"/>
        </w:rPr>
        <w:t xml:space="preserve">  </w:t>
      </w:r>
      <w:r>
        <w:rPr>
          <w:rFonts w:hint="eastAsia" w:ascii="黑体" w:hAnsi="黑体" w:eastAsia="黑体"/>
          <w:b w:val="0"/>
          <w:bCs/>
          <w:sz w:val="36"/>
          <w:szCs w:val="36"/>
        </w:rPr>
        <w:t>名词解释</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（一）</w:t>
      </w:r>
      <w:r>
        <w:rPr>
          <w:rFonts w:hint="eastAsia" w:ascii="仿宋_GB2312" w:hAnsi="仿宋" w:eastAsia="仿宋_GB2312"/>
          <w:sz w:val="28"/>
          <w:szCs w:val="28"/>
        </w:rPr>
        <w:t>财政拨款：指区级财政当年拨付的资金。</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val="en-US" w:eastAsia="zh-CN"/>
        </w:rPr>
        <w:t xml:space="preserve">（二) </w:t>
      </w:r>
      <w:r>
        <w:rPr>
          <w:rFonts w:hint="eastAsia" w:ascii="仿宋_GB2312" w:hAnsi="仿宋" w:eastAsia="仿宋_GB2312"/>
          <w:sz w:val="28"/>
          <w:szCs w:val="28"/>
        </w:rPr>
        <w:t>事业收入：指事业单位开展专业业务活动及辅助活动取得的收入。</w:t>
      </w:r>
    </w:p>
    <w:p>
      <w:pPr>
        <w:pStyle w:val="9"/>
        <w:numPr>
          <w:ilvl w:val="0"/>
          <w:numId w:val="0"/>
        </w:numPr>
        <w:tabs>
          <w:tab w:val="left" w:pos="966"/>
        </w:tabs>
        <w:ind w:leftChars="0"/>
        <w:rPr>
          <w:rFonts w:ascii="仿宋_GB2312" w:hAnsi="仿宋" w:eastAsia="仿宋_GB2312"/>
          <w:sz w:val="28"/>
          <w:szCs w:val="28"/>
        </w:rPr>
      </w:pPr>
      <w:r>
        <w:rPr>
          <w:rFonts w:hint="eastAsia" w:ascii="仿宋_GB2312" w:hAnsi="仿宋" w:eastAsia="仿宋_GB2312"/>
          <w:sz w:val="28"/>
          <w:szCs w:val="28"/>
          <w:lang w:eastAsia="zh-CN"/>
        </w:rPr>
        <w:t>（三）</w:t>
      </w:r>
      <w:r>
        <w:rPr>
          <w:rFonts w:hint="eastAsia" w:ascii="仿宋_GB2312" w:hAnsi="仿宋" w:eastAsia="仿宋_GB2312"/>
          <w:sz w:val="28"/>
          <w:szCs w:val="28"/>
        </w:rPr>
        <w:t>行政运行：反映行政单位（包括参公单位）的基本支出。</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（四）</w:t>
      </w:r>
      <w:r>
        <w:rPr>
          <w:rFonts w:hint="eastAsia" w:ascii="仿宋_GB2312" w:hAnsi="仿宋" w:eastAsia="仿宋_GB2312"/>
          <w:sz w:val="28"/>
          <w:szCs w:val="28"/>
        </w:rPr>
        <w:t>一般行政管理事务：反映行政单位（包括参公单位）未单独设置项级科目的其他项目支出。</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（五）</w:t>
      </w:r>
      <w:r>
        <w:rPr>
          <w:rFonts w:hint="eastAsia" w:ascii="仿宋_GB2312" w:hAnsi="仿宋" w:eastAsia="仿宋_GB2312"/>
          <w:sz w:val="28"/>
          <w:szCs w:val="28"/>
        </w:rPr>
        <w:t>机关服务：反映为行政单位（包括参公单位）提供后勤服务的各类后勤服务中心的支出。</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（六）</w:t>
      </w:r>
      <w:r>
        <w:rPr>
          <w:rFonts w:hint="eastAsia" w:ascii="仿宋_GB2312" w:hAnsi="仿宋" w:eastAsia="仿宋_GB2312"/>
          <w:sz w:val="28"/>
          <w:szCs w:val="28"/>
        </w:rPr>
        <w:t>信息化建设：反映财政部门用于“金财工程”等信息化建设方面的支出。</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（七）</w:t>
      </w:r>
      <w:r>
        <w:rPr>
          <w:rFonts w:hint="eastAsia" w:ascii="仿宋_GB2312" w:hAnsi="仿宋" w:eastAsia="仿宋_GB2312"/>
          <w:sz w:val="28"/>
          <w:szCs w:val="28"/>
        </w:rPr>
        <w:t>事业运行：反映事业单位的基本支出。</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（八）</w:t>
      </w:r>
      <w:r>
        <w:rPr>
          <w:rFonts w:hint="eastAsia" w:ascii="仿宋_GB2312" w:hAnsi="仿宋" w:eastAsia="仿宋_GB2312"/>
          <w:sz w:val="28"/>
          <w:szCs w:val="28"/>
        </w:rPr>
        <w:t>购房补贴：反映按房改政策规定，行政事业单位向符合条件职工发放的用于购买住房的补贴。</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（九）</w:t>
      </w:r>
      <w:r>
        <w:rPr>
          <w:rFonts w:hint="eastAsia" w:ascii="仿宋_GB2312" w:hAnsi="仿宋" w:eastAsia="仿宋_GB2312"/>
          <w:sz w:val="28"/>
          <w:szCs w:val="28"/>
        </w:rPr>
        <w:t>“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numPr>
          <w:ilvl w:val="0"/>
          <w:numId w:val="0"/>
        </w:numPr>
        <w:ind w:leftChars="0"/>
        <w:rPr>
          <w:rFonts w:ascii="仿宋_GB2312" w:hAnsi="仿宋" w:eastAsia="仿宋_GB2312"/>
          <w:sz w:val="28"/>
          <w:szCs w:val="28"/>
        </w:rPr>
      </w:pPr>
      <w:r>
        <w:rPr>
          <w:rFonts w:hint="eastAsia" w:ascii="仿宋_GB2312" w:hAnsi="仿宋" w:eastAsia="仿宋_GB2312"/>
          <w:sz w:val="28"/>
          <w:szCs w:val="28"/>
          <w:lang w:eastAsia="zh-CN"/>
        </w:rPr>
        <w:t>（十）</w:t>
      </w:r>
      <w:r>
        <w:rPr>
          <w:rFonts w:hint="eastAsia" w:ascii="仿宋_GB2312" w:hAnsi="仿宋" w:eastAsia="仿宋_GB2312"/>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及其他费用。</w:t>
      </w:r>
    </w:p>
    <w:p>
      <w:pPr>
        <w:widowControl/>
        <w:spacing w:line="580" w:lineRule="exact"/>
        <w:jc w:val="left"/>
        <w:rPr>
          <w:rFonts w:hint="eastAsia" w:ascii="仿宋_GB2312" w:hAnsi="仿宋_GB2312" w:eastAsia="仿宋_GB2312"/>
          <w:sz w:val="28"/>
          <w:szCs w:val="28"/>
        </w:rPr>
      </w:pPr>
    </w:p>
    <w:p>
      <w:pPr>
        <w:rPr>
          <w:sz w:val="28"/>
          <w:szCs w:val="28"/>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- 1 -</w:t>
                          </w:r>
                          <w:r>
                            <w:rPr>
                              <w:rFonts w:hint="eastAsia" w:ascii="宋体" w:hAnsi="宋体" w:eastAsia="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- 1 -</w:t>
                    </w:r>
                    <w:r>
                      <w:rPr>
                        <w:rFonts w:hint="eastAsia" w:ascii="宋体" w:hAnsi="宋体" w:eastAsia="宋体"/>
                        <w:sz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07B01"/>
    <w:multiLevelType w:val="singleLevel"/>
    <w:tmpl w:val="FB607B01"/>
    <w:lvl w:ilvl="0" w:tentative="0">
      <w:start w:val="8"/>
      <w:numFmt w:val="chineseCounting"/>
      <w:suff w:val="nothing"/>
      <w:lvlText w:val="%1、"/>
      <w:lvlJc w:val="left"/>
      <w:pPr>
        <w:ind w:left="1280" w:leftChars="0" w:firstLine="0" w:firstLineChars="0"/>
      </w:pPr>
      <w:rPr>
        <w:rFonts w:hint="eastAsia"/>
      </w:rPr>
    </w:lvl>
  </w:abstractNum>
  <w:abstractNum w:abstractNumId="1">
    <w:nsid w:val="66E3C0C7"/>
    <w:multiLevelType w:val="singleLevel"/>
    <w:tmpl w:val="66E3C0C7"/>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E585E"/>
    <w:rsid w:val="048E1AD9"/>
    <w:rsid w:val="11951B05"/>
    <w:rsid w:val="21F459F8"/>
    <w:rsid w:val="22523A53"/>
    <w:rsid w:val="27D65290"/>
    <w:rsid w:val="2BF07B6C"/>
    <w:rsid w:val="2E534DDB"/>
    <w:rsid w:val="304E585E"/>
    <w:rsid w:val="31F77778"/>
    <w:rsid w:val="36B160AC"/>
    <w:rsid w:val="39C92E37"/>
    <w:rsid w:val="39F701E3"/>
    <w:rsid w:val="3ED437C1"/>
    <w:rsid w:val="48127EE5"/>
    <w:rsid w:val="483D3623"/>
    <w:rsid w:val="5446424F"/>
    <w:rsid w:val="56D44D29"/>
    <w:rsid w:val="5EE55EFE"/>
    <w:rsid w:val="61D761D2"/>
    <w:rsid w:val="66493412"/>
    <w:rsid w:val="6A8D210D"/>
    <w:rsid w:val="70847307"/>
    <w:rsid w:val="736912A6"/>
    <w:rsid w:val="76A051E8"/>
    <w:rsid w:val="7A1D3C3F"/>
    <w:rsid w:val="7D79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2021-06-22T06:59:00Z</dcterms:created>
  <dc:creator>小燕</dc:creator>
  <cp:lastModifiedBy>小燕</cp:lastModifiedBy>
  <cp:lastPrinted>2021-08-11T03:03:32Z</cp:lastPrinted>
  <dcterms:modified xsi:type="dcterms:W3CDTF">2021-08-11T03:15:57Z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B8BD720C94C04C218A2B3910A0035D4A</vt:lpwstr>
  </property>
</Properties>
</file>