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6"/>
        </w:rPr>
      </w:pPr>
      <w:r>
        <w:rPr>
          <w:rFonts w:hint="eastAsia" w:ascii="黑体" w:hAnsi="黑体" w:eastAsia="黑体"/>
          <w:sz w:val="32"/>
          <w:szCs w:val="36"/>
        </w:rPr>
        <w:t>附件</w:t>
      </w:r>
    </w:p>
    <w:p>
      <w:pPr>
        <w:spacing w:line="600" w:lineRule="exact"/>
        <w:rPr>
          <w:rFonts w:ascii="黑体" w:hAnsi="黑体" w:eastAsia="黑体"/>
          <w:sz w:val="32"/>
          <w:szCs w:val="36"/>
        </w:rPr>
      </w:pPr>
    </w:p>
    <w:p>
      <w:pPr>
        <w:spacing w:line="600" w:lineRule="exact"/>
        <w:jc w:val="center"/>
        <w:rPr>
          <w:rFonts w:ascii="方正小标宋简体" w:hAnsi="方正小标宋简体" w:eastAsia="方正小标宋简体"/>
          <w:sz w:val="44"/>
          <w:szCs w:val="36"/>
        </w:rPr>
      </w:pPr>
      <w:r>
        <w:rPr>
          <w:rFonts w:hint="eastAsia" w:ascii="方正小标宋简体" w:hAnsi="方正小标宋简体" w:eastAsia="方正小标宋简体"/>
          <w:sz w:val="44"/>
          <w:szCs w:val="36"/>
        </w:rPr>
        <w:t>丁公路城管所2020年度部门决算草案</w:t>
      </w:r>
    </w:p>
    <w:p>
      <w:pPr>
        <w:spacing w:line="600" w:lineRule="exact"/>
        <w:jc w:val="center"/>
        <w:rPr>
          <w:rFonts w:ascii="黑体" w:eastAsia="黑体"/>
          <w:sz w:val="44"/>
          <w:szCs w:val="36"/>
        </w:rPr>
      </w:pPr>
    </w:p>
    <w:p>
      <w:pPr>
        <w:spacing w:line="600" w:lineRule="exact"/>
        <w:jc w:val="center"/>
        <w:rPr>
          <w:rFonts w:ascii="黑体" w:eastAsia="黑体"/>
          <w:sz w:val="44"/>
          <w:szCs w:val="36"/>
        </w:rPr>
      </w:pPr>
      <w:r>
        <w:rPr>
          <w:rFonts w:hint="eastAsia" w:ascii="黑体" w:eastAsia="黑体"/>
          <w:sz w:val="44"/>
          <w:szCs w:val="36"/>
        </w:rPr>
        <w:t>目  录</w:t>
      </w:r>
    </w:p>
    <w:p>
      <w:pPr>
        <w:widowControl/>
        <w:spacing w:line="600" w:lineRule="exact"/>
        <w:ind w:firstLine="640"/>
        <w:jc w:val="left"/>
        <w:rPr>
          <w:rFonts w:ascii="仿宋_GB2312" w:eastAsia="仿宋_GB2312"/>
          <w:sz w:val="32"/>
          <w:szCs w:val="30"/>
        </w:rPr>
      </w:pPr>
    </w:p>
    <w:p>
      <w:pPr>
        <w:widowControl/>
        <w:spacing w:line="600" w:lineRule="exact"/>
        <w:ind w:firstLine="640" w:firstLineChars="200"/>
        <w:jc w:val="left"/>
        <w:rPr>
          <w:rFonts w:ascii="黑体" w:hAnsi="黑体" w:eastAsia="黑体"/>
          <w:bCs/>
          <w:sz w:val="32"/>
          <w:szCs w:val="32"/>
        </w:rPr>
      </w:pPr>
      <w:r>
        <w:rPr>
          <w:rFonts w:hint="eastAsia" w:ascii="黑体" w:hAnsi="黑体" w:eastAsia="黑体"/>
          <w:bCs/>
          <w:sz w:val="32"/>
          <w:szCs w:val="32"/>
        </w:rPr>
        <w:t xml:space="preserve">第一部分  </w:t>
      </w:r>
      <w:r>
        <w:rPr>
          <w:rFonts w:hint="eastAsia" w:ascii="黑体" w:hAnsi="宋体" w:eastAsia="黑体" w:cs="黑体"/>
          <w:color w:val="000000"/>
          <w:kern w:val="0"/>
          <w:sz w:val="32"/>
          <w:szCs w:val="32"/>
        </w:rPr>
        <w:t>丁公路城管所</w:t>
      </w:r>
      <w:r>
        <w:rPr>
          <w:rFonts w:hint="eastAsia" w:ascii="黑体" w:hAnsi="黑体" w:eastAsia="黑体"/>
          <w:bCs/>
          <w:sz w:val="32"/>
          <w:szCs w:val="32"/>
        </w:rPr>
        <w:t>部门概况</w:t>
      </w:r>
    </w:p>
    <w:p>
      <w:pPr>
        <w:widowControl/>
        <w:spacing w:line="600" w:lineRule="exact"/>
        <w:ind w:firstLine="640"/>
        <w:jc w:val="left"/>
        <w:rPr>
          <w:rFonts w:ascii="仿宋_GB2312" w:hAnsi="仿宋_GB2312" w:eastAsia="仿宋_GB2312"/>
          <w:sz w:val="32"/>
          <w:szCs w:val="30"/>
        </w:rPr>
      </w:pPr>
      <w:r>
        <w:rPr>
          <w:rFonts w:hint="eastAsia" w:ascii="仿宋_GB2312" w:eastAsia="仿宋_GB2312"/>
          <w:b/>
          <w:sz w:val="32"/>
          <w:szCs w:val="30"/>
        </w:rPr>
        <w:t xml:space="preserve">    </w:t>
      </w:r>
      <w:r>
        <w:rPr>
          <w:rFonts w:hint="eastAsia" w:ascii="仿宋_GB2312" w:hAnsi="仿宋_GB2312" w:eastAsia="仿宋_GB2312"/>
          <w:sz w:val="32"/>
          <w:szCs w:val="30"/>
        </w:rPr>
        <w:t>一、部门主要职责</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二、部门基本情况</w:t>
      </w:r>
    </w:p>
    <w:p>
      <w:pPr>
        <w:widowControl/>
        <w:spacing w:line="600" w:lineRule="exact"/>
        <w:ind w:firstLine="640"/>
        <w:jc w:val="left"/>
        <w:rPr>
          <w:rFonts w:ascii="黑体" w:hAnsi="黑体" w:eastAsia="黑体"/>
          <w:sz w:val="32"/>
          <w:szCs w:val="32"/>
        </w:rPr>
      </w:pPr>
      <w:r>
        <w:rPr>
          <w:rFonts w:hint="eastAsia" w:ascii="黑体" w:hAnsi="黑体" w:eastAsia="黑体"/>
          <w:sz w:val="32"/>
          <w:szCs w:val="32"/>
        </w:rPr>
        <w:t>第二部分  2020年度部门决算表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一、收入支出决算总表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二、收入决算表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三、支出决算表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四、财政拨款收入支出决算总表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五、一般公共预算财政拨款支出决算表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六、一般公共预算财政拨款基本支出决算表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七、一般公共预算财政拨款“三公”经费支出决算</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八、政府性基金预算财政拨款收入支出决算表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九、国有资产占用情况表</w:t>
      </w:r>
    </w:p>
    <w:p>
      <w:pPr>
        <w:widowControl/>
        <w:spacing w:line="600" w:lineRule="exact"/>
        <w:jc w:val="left"/>
        <w:rPr>
          <w:rFonts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2020年度部门决算情况说明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三、财政拨款支出决算情况说明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四、一般公共预算财政拨款基本支出决算情况说明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五、一般公共预算财政拨款“三公”经费支出决算</w:t>
      </w:r>
    </w:p>
    <w:p>
      <w:pPr>
        <w:widowControl/>
        <w:spacing w:line="600" w:lineRule="exact"/>
        <w:jc w:val="left"/>
        <w:rPr>
          <w:rFonts w:ascii="仿宋_GB2312" w:hAnsi="仿宋_GB2312" w:eastAsia="仿宋_GB2312"/>
          <w:sz w:val="32"/>
          <w:szCs w:val="30"/>
        </w:rPr>
      </w:pPr>
      <w:r>
        <w:rPr>
          <w:rFonts w:hint="eastAsia" w:ascii="仿宋_GB2312" w:hAnsi="仿宋_GB2312" w:eastAsia="仿宋_GB2312"/>
          <w:sz w:val="32"/>
          <w:szCs w:val="30"/>
        </w:rPr>
        <w:t xml:space="preserve">    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六、机关运行经费支出情况说明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七、政府采购支出情况说明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八、国有资产占用情况说明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rPr>
          <w:rFonts w:ascii="宋体" w:hAnsi="宋体"/>
          <w:b/>
          <w:sz w:val="36"/>
          <w:szCs w:val="36"/>
        </w:rPr>
      </w:pPr>
    </w:p>
    <w:p>
      <w:pPr>
        <w:spacing w:beforeLines="100" w:afterLines="100"/>
        <w:jc w:val="center"/>
        <w:rPr>
          <w:sz w:val="32"/>
          <w:szCs w:val="32"/>
        </w:rPr>
      </w:pPr>
      <w:r>
        <w:rPr>
          <w:rFonts w:hint="eastAsia" w:ascii="黑体" w:hAnsi="黑体" w:eastAsia="黑体"/>
          <w:bCs/>
          <w:sz w:val="32"/>
          <w:szCs w:val="32"/>
        </w:rPr>
        <w:t>第一部分</w:t>
      </w:r>
      <w:r>
        <w:rPr>
          <w:rFonts w:hint="eastAsia" w:ascii="黑体" w:hAnsi="黑体" w:eastAsia="黑体"/>
          <w:bCs/>
          <w:sz w:val="32"/>
          <w:szCs w:val="30"/>
        </w:rPr>
        <w:t xml:space="preserve">  </w:t>
      </w:r>
      <w:r>
        <w:rPr>
          <w:rFonts w:hint="eastAsia" w:ascii="黑体" w:hAnsi="宋体" w:eastAsia="黑体" w:cs="黑体"/>
          <w:color w:val="000000"/>
          <w:kern w:val="0"/>
          <w:sz w:val="32"/>
          <w:szCs w:val="32"/>
        </w:rPr>
        <w:t>丁公路城管所</w:t>
      </w:r>
      <w:r>
        <w:rPr>
          <w:rFonts w:hint="eastAsia" w:ascii="黑体" w:hAnsi="黑体" w:eastAsia="黑体"/>
          <w:bCs/>
          <w:sz w:val="32"/>
          <w:szCs w:val="32"/>
        </w:rPr>
        <w:t>部门</w:t>
      </w:r>
      <w:r>
        <w:rPr>
          <w:rFonts w:hint="eastAsia" w:ascii="黑体" w:hAnsi="黑体" w:eastAsia="黑体"/>
          <w:bCs/>
          <w:sz w:val="32"/>
          <w:szCs w:val="30"/>
        </w:rPr>
        <w:t>概况</w:t>
      </w:r>
    </w:p>
    <w:p>
      <w:pPr>
        <w:ind w:firstLine="630"/>
        <w:jc w:val="left"/>
        <w:rPr>
          <w:rFonts w:ascii="黑体" w:hAnsi="黑体" w:eastAsia="黑体"/>
          <w:sz w:val="32"/>
          <w:szCs w:val="30"/>
        </w:rPr>
      </w:pPr>
      <w:r>
        <w:rPr>
          <w:rFonts w:hint="eastAsia" w:ascii="黑体" w:hAnsi="黑体" w:eastAsia="黑体"/>
          <w:sz w:val="32"/>
          <w:szCs w:val="30"/>
        </w:rPr>
        <w:t>一、部门主要职能</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丁公路城管所是主管城市管理的区政府批准成立的部门，副科级建制。其主要职责为： </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（一）为维护城市环境卫生提供管理保障； </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（二）城市环境卫生设施建设；</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（三）城市环境卫生设施营造与维护；</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（四）城市环境卫生监督；</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（五）城市环境卫生作业管理。 </w:t>
      </w:r>
    </w:p>
    <w:p>
      <w:pPr>
        <w:ind w:firstLine="630"/>
        <w:jc w:val="left"/>
        <w:rPr>
          <w:rFonts w:ascii="黑体" w:hAnsi="黑体" w:eastAsia="黑体"/>
          <w:sz w:val="32"/>
          <w:szCs w:val="30"/>
        </w:rPr>
      </w:pPr>
      <w:r>
        <w:rPr>
          <w:rFonts w:hint="eastAsia" w:ascii="黑体" w:hAnsi="黑体" w:eastAsia="黑体"/>
          <w:sz w:val="32"/>
          <w:szCs w:val="30"/>
        </w:rPr>
        <w:t>二、部门基本情况</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纳入本套部门决算汇编范围的单位共 1  个。</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本部门2020年年末实有人数 101 人，其中在职人5员  人，离休人员 0 人，退休人员  0 人；年末其他人员 96  人；年末学生人数  0 人。</w:t>
      </w:r>
    </w:p>
    <w:p>
      <w:pPr>
        <w:ind w:firstLine="630"/>
        <w:jc w:val="left"/>
        <w:rPr>
          <w:rFonts w:ascii="仿宋_GB2312" w:hAnsi="仿宋_GB2312" w:eastAsia="仿宋_GB2312"/>
          <w:sz w:val="32"/>
          <w:szCs w:val="30"/>
        </w:rPr>
      </w:pPr>
    </w:p>
    <w:p>
      <w:pPr>
        <w:ind w:firstLine="1744" w:firstLineChars="545"/>
        <w:jc w:val="left"/>
        <w:rPr>
          <w:rFonts w:ascii="仿宋_GB2312" w:hAnsi="仿宋_GB2312" w:eastAsia="仿宋_GB2312"/>
          <w:sz w:val="32"/>
          <w:szCs w:val="30"/>
        </w:rPr>
      </w:pPr>
      <w:r>
        <w:rPr>
          <w:rFonts w:hint="eastAsia" w:ascii="黑体" w:hAnsi="黑体" w:eastAsia="黑体"/>
          <w:bCs/>
          <w:sz w:val="32"/>
          <w:szCs w:val="32"/>
        </w:rPr>
        <w:t>第二部分  2020年度部门决算表</w:t>
      </w:r>
    </w:p>
    <w:p>
      <w:pPr>
        <w:widowControl/>
        <w:spacing w:line="600" w:lineRule="exac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详见附件：2020年度决算公开表（1-9）</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一、收入支出决算总表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二、收入决算表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三、支出决算表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四、财政拨款收入支出决算总表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五、一般公共预算财政拨款支出决算表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六、一般公共预算财政拨款基本支出决算表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七、一般公共预算财政拨款“三公”经费支出决算</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八、政府性基金预算财政拨款收入支出决算表</w:t>
      </w:r>
    </w:p>
    <w:p>
      <w:pPr>
        <w:widowControl/>
        <w:spacing w:line="600" w:lineRule="exact"/>
        <w:ind w:firstLine="640" w:firstLineChars="200"/>
        <w:jc w:val="left"/>
        <w:rPr>
          <w:rFonts w:ascii="仿宋" w:hAnsi="仿宋" w:eastAsia="仿宋" w:cs="宋体"/>
          <w:color w:val="000000"/>
          <w:kern w:val="0"/>
          <w:sz w:val="32"/>
          <w:szCs w:val="32"/>
        </w:rPr>
      </w:pPr>
      <w:r>
        <w:rPr>
          <w:rFonts w:hint="eastAsia" w:ascii="仿宋_GB2312" w:hAnsi="仿宋_GB2312" w:eastAsia="仿宋_GB2312" w:cs="宋体"/>
          <w:kern w:val="0"/>
          <w:sz w:val="32"/>
          <w:szCs w:val="32"/>
        </w:rPr>
        <w:t xml:space="preserve">    九、国有资产占用情况表</w:t>
      </w:r>
    </w:p>
    <w:p>
      <w:pPr>
        <w:ind w:firstLine="630"/>
        <w:jc w:val="left"/>
        <w:rPr>
          <w:rFonts w:ascii="仿宋_GB2312" w:hAnsi="仿宋_GB2312" w:eastAsia="仿宋_GB2312"/>
          <w:sz w:val="32"/>
          <w:szCs w:val="30"/>
        </w:rPr>
      </w:pPr>
    </w:p>
    <w:p>
      <w:pPr>
        <w:spacing w:beforeLines="100" w:afterLines="100"/>
        <w:jc w:val="center"/>
        <w:rPr>
          <w:rFonts w:ascii="黑体" w:hAnsi="黑体" w:eastAsia="黑体"/>
          <w:bCs/>
          <w:sz w:val="32"/>
          <w:szCs w:val="32"/>
        </w:rPr>
      </w:pPr>
      <w:r>
        <w:rPr>
          <w:rFonts w:hint="eastAsia" w:ascii="黑体" w:hAnsi="黑体" w:eastAsia="黑体"/>
          <w:bCs/>
          <w:sz w:val="32"/>
          <w:szCs w:val="32"/>
        </w:rPr>
        <w:t>第三部分  2020年度部门决算情况说明</w:t>
      </w:r>
    </w:p>
    <w:p>
      <w:pPr>
        <w:ind w:firstLine="630"/>
        <w:jc w:val="left"/>
        <w:rPr>
          <w:rFonts w:ascii="黑体" w:hAnsi="黑体" w:eastAsia="黑体"/>
          <w:sz w:val="32"/>
          <w:szCs w:val="30"/>
        </w:rPr>
      </w:pPr>
      <w:r>
        <w:rPr>
          <w:rFonts w:hint="eastAsia" w:ascii="黑体" w:hAnsi="黑体" w:eastAsia="黑体"/>
          <w:sz w:val="32"/>
          <w:szCs w:val="30"/>
        </w:rPr>
        <w:t>一、收入决算情况说明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本部门2020年度收入总计  291.49  万元，其中年初结转和结余 0 万元，较2019年减少 30.86 万元，下降 10 %；本年收入合计 291.49  万元，较2019年减少 30.86 万元，下降 10 %，主要原因是：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 xml:space="preserve">本年收入的具体构成为：财政拨款收入 291.49 万元，占 100 %；事业收入  0 万元，占 0 %；经营收入 0  万元，占 0 %；其他收入  0 万元，占 0 %。  </w:t>
      </w:r>
    </w:p>
    <w:p>
      <w:pPr>
        <w:ind w:firstLine="630"/>
        <w:jc w:val="left"/>
        <w:rPr>
          <w:rFonts w:ascii="黑体" w:hAnsi="黑体" w:eastAsia="黑体"/>
          <w:sz w:val="32"/>
          <w:szCs w:val="30"/>
        </w:rPr>
      </w:pPr>
      <w:r>
        <w:rPr>
          <w:rFonts w:hint="eastAsia" w:ascii="黑体" w:hAnsi="黑体" w:eastAsia="黑体"/>
          <w:sz w:val="32"/>
          <w:szCs w:val="30"/>
        </w:rPr>
        <w:t>二、支出决算情况说明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本部门2020年度支出总计  291.49  万元，其中本年支出合计 291.49 万元，较2019年减少30.86 万元，下降 10 %，主要原因是：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；年末结转和结余 0万元，较2019年增加（减少）0万元，增长（下降） 0 %，主要原因是：。</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本年支出的具体构成为：基本支出 42.89  万元，占 15 %；项目支出 248.60万元，占 85  %；经营支出  0 万元，占 0 %；其他支出（对附属单位补助支出、上缴上级支出）  0 万元，占 0 %。</w:t>
      </w:r>
    </w:p>
    <w:p>
      <w:pPr>
        <w:ind w:firstLine="630"/>
        <w:jc w:val="left"/>
        <w:rPr>
          <w:rFonts w:ascii="黑体" w:hAnsi="黑体" w:eastAsia="黑体"/>
          <w:sz w:val="32"/>
          <w:szCs w:val="30"/>
        </w:rPr>
      </w:pPr>
      <w:r>
        <w:rPr>
          <w:rFonts w:hint="eastAsia" w:ascii="黑体" w:hAnsi="黑体" w:eastAsia="黑体"/>
          <w:sz w:val="32"/>
          <w:szCs w:val="30"/>
        </w:rPr>
        <w:t>三、财政拨款支出决算情况说明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本部门2020年度财政拨款本年支出年初预算数329.66 万元，决算数为 291.49 万元，完成年初预算的 89%。其中：</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（一）一般公共服务支出年初预算数为 329.66  万元，决算数为 291.49 万元，完成年初预算的 89 %，主要原因是：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（二）公共安全支出年初预算数为 0  万元，决算数为 0 万元，完成年初预算的 0 %，主要原因是：本部门无此项支出。</w:t>
      </w:r>
    </w:p>
    <w:p>
      <w:pPr>
        <w:ind w:firstLine="585"/>
        <w:jc w:val="left"/>
        <w:rPr>
          <w:rFonts w:ascii="黑体" w:hAnsi="黑体" w:eastAsia="黑体"/>
          <w:sz w:val="32"/>
          <w:szCs w:val="30"/>
        </w:rPr>
      </w:pPr>
      <w:r>
        <w:rPr>
          <w:rFonts w:hint="eastAsia" w:ascii="黑体" w:hAnsi="黑体" w:eastAsia="黑体"/>
          <w:sz w:val="32"/>
          <w:szCs w:val="30"/>
        </w:rPr>
        <w:t>四、一般公共预算财政拨款基本支出决算情况说明</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本部门2020年度一般公共预算财政拨款基本支出42.89万元，其中：</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（一）工资福利支出  39.52 万元，较2019年减少25.91万元，下降 40 %，主要原因是：</w:t>
      </w:r>
      <w:r>
        <w:rPr>
          <w:rFonts w:hint="eastAsia" w:ascii="仿宋" w:hAnsi="仿宋" w:eastAsia="仿宋" w:cs="仿宋"/>
          <w:color w:val="000000"/>
          <w:kern w:val="0"/>
          <w:sz w:val="32"/>
          <w:szCs w:val="32"/>
        </w:rPr>
        <w:t>经费减少</w:t>
      </w:r>
      <w:r>
        <w:rPr>
          <w:rFonts w:hint="eastAsia" w:ascii="仿宋_GB2312" w:hAnsi="仿宋_GB2312" w:eastAsia="仿宋_GB2312"/>
          <w:sz w:val="32"/>
          <w:szCs w:val="30"/>
        </w:rPr>
        <w:t>。</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（二）商品和服务支出  3.37 万元，较2019年增加3.37  万元，增长 100%，主要原因是：增加了劳务开支。</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（三）对个人和家庭补助支出  0 万元，较2019年减少  0万元，下降 0 %，主要原因是：本部门无此项支出。</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（四）资本性支出 0  万元，较2019年增加（减少） 0 万元，增长（下降） 0 %，主要原因是：本部门无此项支出。</w:t>
      </w:r>
    </w:p>
    <w:p>
      <w:pPr>
        <w:ind w:firstLine="630"/>
        <w:jc w:val="left"/>
        <w:rPr>
          <w:rFonts w:ascii="黑体" w:hAnsi="黑体" w:eastAsia="黑体"/>
          <w:sz w:val="32"/>
          <w:szCs w:val="30"/>
        </w:rPr>
      </w:pPr>
      <w:r>
        <w:rPr>
          <w:rFonts w:hint="eastAsia" w:ascii="黑体" w:hAnsi="黑体" w:eastAsia="黑体"/>
          <w:sz w:val="32"/>
          <w:szCs w:val="30"/>
        </w:rPr>
        <w:t>五、一般公共预算财政拨款“三公”经费支出决算情况说明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本部门2020年度一般公共预算财政拨款“三公”经费支出年初预算数为 0  万元，决算数为 0 万元，完成预算的 0 %，决算数较2019年增加（减少）  0万元，增长（下降） 0 %，其中：</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（一）因公出国（境）支出年初预算数为 0  万元，决算数为 0 万元，完成预算的0 %，决算数较2019年增加（减少） 0 万元，增长（下降） 0 %。决算数较年初预算数增加（减少）的主要原因是：本部门不涉及此项支出。</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（二）公务接待费支出年初预算数为  0 万元，决算数为 0 万元，完成预算的0 %，决算数较2019年增加（减少） 0 万元，增长（下降） 0 %。决算数较年初预算数增加（减少）的主要原因是：本部门无此项支出。</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（三）公务用车购置及运行维护费支出 0  万元，其中公务用车购置年初预算数为 0  万元，决算数为 0 万元，完成预算的 0%，决算数较2019年增加（减少）0  万元，增长（下降） 0 %。决算数较年初预算数增加（减少）的主要原因是：本部门无此项支出；公务用车运行维护费支出年初预算数为 0  万元，决算数为 0 万元，完成预算的0 %，决算数较2019年增加（减少） 0 万元，增长（下降） 0 %。决算数较年初预算数增加（减少）的主要原因是：本部门公务用车2018年已报废。</w:t>
      </w:r>
    </w:p>
    <w:p>
      <w:pPr>
        <w:ind w:firstLine="630"/>
        <w:jc w:val="left"/>
        <w:rPr>
          <w:rFonts w:ascii="黑体" w:hAnsi="黑体" w:eastAsia="黑体"/>
          <w:sz w:val="32"/>
          <w:szCs w:val="30"/>
        </w:rPr>
      </w:pPr>
      <w:r>
        <w:rPr>
          <w:rFonts w:hint="eastAsia" w:ascii="黑体" w:hAnsi="黑体" w:eastAsia="黑体"/>
          <w:sz w:val="32"/>
          <w:szCs w:val="30"/>
        </w:rPr>
        <w:t>六、机关运行经费支出情况说明</w:t>
      </w:r>
    </w:p>
    <w:p>
      <w:pPr>
        <w:widowControl/>
        <w:spacing w:line="600" w:lineRule="exact"/>
        <w:ind w:firstLine="640"/>
        <w:jc w:val="left"/>
        <w:rPr>
          <w:rFonts w:hint="eastAsia" w:ascii="仿宋" w:hAnsi="仿宋" w:eastAsia="仿宋" w:cs="Times New Roman"/>
          <w:color w:val="000000"/>
          <w:sz w:val="32"/>
          <w:szCs w:val="30"/>
        </w:rPr>
      </w:pPr>
      <w:r>
        <w:rPr>
          <w:rFonts w:hint="eastAsia" w:ascii="仿宋" w:hAnsi="仿宋" w:eastAsia="仿宋" w:cs="Times New Roman"/>
          <w:color w:val="000000"/>
          <w:sz w:val="32"/>
          <w:szCs w:val="30"/>
        </w:rPr>
        <w:t>本部门2020年度机关运行经费支出 0万元</w:t>
      </w:r>
    </w:p>
    <w:p>
      <w:pPr>
        <w:widowControl/>
        <w:spacing w:line="600" w:lineRule="exact"/>
        <w:ind w:firstLine="640"/>
        <w:jc w:val="left"/>
        <w:rPr>
          <w:rFonts w:hint="eastAsia" w:ascii="仿宋" w:hAnsi="仿宋" w:eastAsia="仿宋" w:cs="Times New Roman"/>
          <w:color w:val="000000"/>
          <w:sz w:val="32"/>
          <w:szCs w:val="30"/>
        </w:rPr>
      </w:pPr>
      <w:r>
        <w:rPr>
          <w:rFonts w:hint="eastAsia" w:ascii="仿宋" w:hAnsi="仿宋" w:eastAsia="仿宋" w:cs="Times New Roman"/>
          <w:color w:val="000000"/>
          <w:sz w:val="32"/>
          <w:szCs w:val="30"/>
        </w:rPr>
        <w:t>主要原因是：</w:t>
      </w:r>
      <w:r>
        <w:rPr>
          <w:rFonts w:hint="eastAsia" w:ascii="仿宋" w:hAnsi="仿宋" w:eastAsia="仿宋" w:cs="Times New Roman"/>
          <w:color w:val="000000"/>
          <w:sz w:val="32"/>
          <w:szCs w:val="30"/>
          <w:lang w:val="en-US" w:eastAsia="zh-CN"/>
        </w:rPr>
        <w:t>本单位</w:t>
      </w:r>
      <w:r>
        <w:rPr>
          <w:rFonts w:hint="eastAsia" w:ascii="仿宋" w:hAnsi="仿宋" w:eastAsia="仿宋" w:cs="Times New Roman"/>
          <w:color w:val="000000"/>
          <w:sz w:val="32"/>
          <w:szCs w:val="30"/>
        </w:rPr>
        <w:t>无机关运行预算安排。</w:t>
      </w:r>
    </w:p>
    <w:p>
      <w:pPr>
        <w:ind w:firstLine="630"/>
        <w:jc w:val="left"/>
        <w:rPr>
          <w:rFonts w:ascii="黑体" w:hAnsi="黑体" w:eastAsia="黑体"/>
          <w:sz w:val="32"/>
          <w:szCs w:val="30"/>
        </w:rPr>
      </w:pPr>
      <w:r>
        <w:rPr>
          <w:rFonts w:hint="eastAsia" w:ascii="仿宋" w:hAnsi="仿宋" w:eastAsia="仿宋"/>
          <w:sz w:val="32"/>
          <w:szCs w:val="30"/>
        </w:rPr>
        <w:t xml:space="preserve"> </w:t>
      </w:r>
      <w:r>
        <w:rPr>
          <w:rFonts w:hint="eastAsia" w:ascii="黑体" w:hAnsi="黑体" w:eastAsia="黑体"/>
          <w:sz w:val="32"/>
          <w:szCs w:val="30"/>
        </w:rPr>
        <w:t>七、政府采购支出情况说明</w:t>
      </w:r>
    </w:p>
    <w:p>
      <w:pPr>
        <w:pStyle w:val="7"/>
        <w:spacing w:line="600" w:lineRule="atLeast"/>
        <w:ind w:firstLine="600"/>
        <w:rPr>
          <w:rFonts w:ascii="仿宋_GB2312" w:hAnsi="仿宋_GB2312" w:eastAsia="仿宋_GB2312"/>
          <w:sz w:val="32"/>
          <w:szCs w:val="30"/>
        </w:rPr>
      </w:pPr>
      <w:r>
        <w:rPr>
          <w:rFonts w:hint="eastAsia" w:ascii="仿宋_GB2312" w:hAnsi="仿宋_GB2312" w:eastAsia="仿宋_GB2312"/>
          <w:sz w:val="32"/>
          <w:szCs w:val="30"/>
        </w:rPr>
        <w:t>本部门2020年度政府采购支出总额 0 万元，其中：政府采购货物支出 0 万元、政府采购工程支出 0 万元、政府采购服务支出 0 万元。授予中小企业合同金额 0 万元，占政府采购支出总额的 0 %，其中：授予小微企业合同金额 0 万元，占政府采购支出总额的 0 %。（省级部门政府采购金额的计算口径为：本部门纳入2020年部门预算范围的各项政府采购支出金额之和，不包括涉密采购项目的支出金额。）</w:t>
      </w:r>
    </w:p>
    <w:p>
      <w:pPr>
        <w:ind w:firstLine="630"/>
        <w:jc w:val="left"/>
        <w:rPr>
          <w:rFonts w:ascii="黑体" w:hAnsi="黑体" w:eastAsia="黑体"/>
          <w:sz w:val="32"/>
          <w:szCs w:val="30"/>
        </w:rPr>
      </w:pPr>
      <w:r>
        <w:rPr>
          <w:rFonts w:hint="eastAsia" w:ascii="黑体" w:hAnsi="黑体" w:eastAsia="黑体"/>
          <w:sz w:val="32"/>
          <w:szCs w:val="30"/>
        </w:rPr>
        <w:t>八、国有资产占用情况说明。</w:t>
      </w:r>
    </w:p>
    <w:p>
      <w:pPr>
        <w:ind w:firstLine="630"/>
        <w:jc w:val="left"/>
        <w:rPr>
          <w:rFonts w:hint="eastAsia" w:ascii="仿宋_GB2312" w:hAnsi="仿宋_GB2312" w:eastAsia="仿宋_GB2312"/>
          <w:kern w:val="0"/>
          <w:sz w:val="32"/>
          <w:szCs w:val="30"/>
        </w:rPr>
      </w:pPr>
      <w:r>
        <w:rPr>
          <w:rFonts w:hint="eastAsia" w:ascii="仿宋_GB2312" w:hAnsi="仿宋_GB2312" w:eastAsia="仿宋_GB2312"/>
          <w:kern w:val="0"/>
          <w:sz w:val="32"/>
          <w:szCs w:val="30"/>
        </w:rPr>
        <w:t>截止2020年12月31日，本部门国有资产占用情况见</w:t>
      </w:r>
      <w:r>
        <w:rPr>
          <w:rFonts w:hint="eastAsia" w:ascii="仿宋_GB2312" w:hAnsi="仿宋_GB2312" w:eastAsia="仿宋_GB2312"/>
          <w:kern w:val="0"/>
          <w:sz w:val="32"/>
          <w:szCs w:val="30"/>
          <w:lang w:val="en-US" w:eastAsia="zh-CN"/>
        </w:rPr>
        <w:t>公开10</w:t>
      </w:r>
      <w:r>
        <w:rPr>
          <w:rFonts w:hint="eastAsia" w:ascii="仿宋_GB2312" w:hAnsi="仿宋_GB2312" w:eastAsia="仿宋_GB2312"/>
          <w:kern w:val="0"/>
          <w:sz w:val="32"/>
          <w:szCs w:val="30"/>
        </w:rPr>
        <w:t>表《国有资产占用情况表》。</w:t>
      </w:r>
    </w:p>
    <w:p>
      <w:pPr>
        <w:ind w:firstLine="630"/>
        <w:jc w:val="left"/>
        <w:rPr>
          <w:rFonts w:ascii="黑体" w:hAnsi="黑体" w:eastAsia="黑体"/>
          <w:sz w:val="32"/>
          <w:szCs w:val="30"/>
        </w:rPr>
      </w:pPr>
      <w:r>
        <w:rPr>
          <w:rFonts w:hint="eastAsia" w:ascii="黑体" w:hAnsi="黑体" w:eastAsia="黑体"/>
          <w:sz w:val="32"/>
          <w:szCs w:val="30"/>
        </w:rPr>
        <w:t>九、预算绩效情况说明</w:t>
      </w:r>
    </w:p>
    <w:p>
      <w:pPr>
        <w:autoSpaceDE w:val="0"/>
        <w:autoSpaceDN w:val="0"/>
        <w:adjustRightInd w:val="0"/>
        <w:spacing w:line="360" w:lineRule="auto"/>
        <w:jc w:val="left"/>
        <w:rPr>
          <w:rFonts w:ascii="仿宋_GB2312" w:hAnsi="仿宋_GB2312" w:eastAsia="仿宋_GB2312" w:cs="仿宋_GB2312"/>
          <w:kern w:val="0"/>
          <w:sz w:val="32"/>
          <w:szCs w:val="30"/>
        </w:rPr>
      </w:pPr>
      <w:r>
        <w:rPr>
          <w:rFonts w:hint="eastAsia" w:ascii="仿宋" w:hAnsi="仿宋" w:eastAsia="仿宋" w:cs="仿宋_GB2312"/>
          <w:kern w:val="0"/>
          <w:sz w:val="32"/>
          <w:szCs w:val="30"/>
        </w:rPr>
        <w:t xml:space="preserve">  </w:t>
      </w:r>
      <w:r>
        <w:rPr>
          <w:rFonts w:hint="eastAsia" w:ascii="仿宋_GB2312" w:hAnsi="仿宋_GB2312" w:eastAsia="仿宋_GB2312" w:cs="仿宋_GB2312"/>
          <w:kern w:val="0"/>
          <w:sz w:val="32"/>
          <w:szCs w:val="30"/>
        </w:rPr>
        <w:t xml:space="preserve"> （一）绩效管理工作开展情况。</w:t>
      </w:r>
    </w:p>
    <w:p>
      <w:pPr>
        <w:autoSpaceDE w:val="0"/>
        <w:autoSpaceDN w:val="0"/>
        <w:adjustRightInd w:val="0"/>
        <w:spacing w:line="360" w:lineRule="auto"/>
        <w:ind w:firstLine="600"/>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 xml:space="preserve">根据预算绩效管理要求，我部门组织对2020年度一般公共预算项目支出全面开展绩效自评，其中，一级项目 1 个，二级项目0个，共涉及资金248.60 万元，占一般公共预算项目支出总额的 87 %。    </w:t>
      </w:r>
    </w:p>
    <w:p>
      <w:pPr>
        <w:spacing w:line="360" w:lineRule="auto"/>
        <w:rPr>
          <w:rFonts w:ascii="仿宋" w:hAnsi="仿宋" w:eastAsia="仿宋"/>
          <w:color w:val="000000" w:themeColor="text1"/>
          <w:sz w:val="32"/>
          <w:szCs w:val="32"/>
        </w:rPr>
      </w:pPr>
      <w:r>
        <w:rPr>
          <w:rFonts w:hint="eastAsia" w:ascii="仿宋_GB2312" w:hAnsi="仿宋_GB2312" w:eastAsia="仿宋_GB2312" w:cs="仿宋_GB2312"/>
          <w:kern w:val="0"/>
          <w:sz w:val="32"/>
          <w:szCs w:val="30"/>
        </w:rPr>
        <w:t xml:space="preserve">    组织对“道路清扫保洁” 1 个项目开展了部门评价，涉及一般公共预算支出 248.60 万元。从评价情况来看</w:t>
      </w:r>
      <w:r>
        <w:rPr>
          <w:rFonts w:hint="eastAsia" w:ascii="仿宋" w:hAnsi="仿宋" w:eastAsia="仿宋" w:cs="仿宋"/>
          <w:color w:val="000000" w:themeColor="text1"/>
          <w:sz w:val="32"/>
          <w:szCs w:val="32"/>
        </w:rPr>
        <w:t>以服务和保障民生为出发点，以“美丽家园·幸福南昌”两年出形象、全国文明城“复牌行动”、百日攻坚净化行动为抓手，全面实施环境卫</w:t>
      </w:r>
      <w:r>
        <w:rPr>
          <w:rFonts w:hint="eastAsia" w:ascii="仿宋" w:hAnsi="仿宋" w:eastAsia="仿宋"/>
          <w:color w:val="000000" w:themeColor="text1"/>
          <w:sz w:val="32"/>
          <w:szCs w:val="32"/>
        </w:rPr>
        <w:t>生“马路本色”行动，促进我辖区市容环境卫生质量稳固提高。</w:t>
      </w:r>
    </w:p>
    <w:p>
      <w:pPr>
        <w:spacing w:line="360" w:lineRule="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（二）部门决算中项目绩效自评结果</w:t>
      </w:r>
    </w:p>
    <w:p>
      <w:pPr>
        <w:spacing w:line="360" w:lineRule="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我部门今年在省级部门决算中反映道路清扫保洁项目绩效自评结果。</w:t>
      </w:r>
    </w:p>
    <w:p>
      <w:pPr>
        <w:spacing w:line="360" w:lineRule="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道路清扫保洁项目绩效自评综述：根据年初设定的绩效目标，道路清扫保洁项目绩效自评得分为 92 分。项目全年预算数为 286.98 万元，执行数为 248.60  万元，完成预算的 87 %。主要产出和效果：一是做好道路清扫保洁工作，是为维护城市环境卫生管理，加快“美丽西湖”建设的必要举措。；二是优化城市环境卫生，让广大居民群众有更好的居住环境。发现的问题及原因：一是强道路清扫保洁力度不足；二是环境卫生的监督、监管力度不到位。下一步改进措施：一是加强道路清扫保洁力度；二是做到垃圾不落地、垃圾日产日清、辖区内无一处垃圾死角：三是加强对道路质检员的管理机制。</w:t>
      </w:r>
    </w:p>
    <w:p>
      <w:pPr>
        <w:spacing w:line="360" w:lineRule="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道路清扫保洁项目绩效自评综述：评价组围绕绩效评价指标体系，通过数据采集分析、财务核查、实地核查及访谈等方式，对2020年度道路清扫保洁项目的实施绩效进行了客观、公正的评价，经综合评价，2020年度道路清扫保洁和项目绩效评分92分，项目绩效评价等级为“优秀”。</w:t>
      </w:r>
    </w:p>
    <w:p>
      <w:pPr>
        <w:spacing w:line="360" w:lineRule="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在市城管局的有力指导和西湖区委、区政府的坚强领导下，我所按照市、区两级关于城市管理的总体部署要求，以服务和保障民生为出发点，以“美丽家园·幸福南昌”三年上台阶、城市功能品质提升三年行动等为抓手，狠抓队伍建设，创新工作理念，实施市容环境精细化管理，着力打造城市管理精品工程，主要领导亲自挂帅、亲自谋划、亲自部署，分管领导具体调度，高频次、高密度调度，研究部署相关工作。</w:t>
      </w:r>
    </w:p>
    <w:p>
      <w:pPr>
        <w:spacing w:line="360" w:lineRule="auto"/>
        <w:rPr>
          <w:rFonts w:hint="eastAsia" w:ascii="仿宋" w:hAnsi="仿宋" w:eastAsia="仿宋" w:cs="仿宋"/>
          <w:color w:val="000000" w:themeColor="text1"/>
          <w:sz w:val="32"/>
          <w:szCs w:val="32"/>
        </w:rPr>
      </w:pPr>
      <w:bookmarkStart w:id="0" w:name="_Toc13469"/>
      <w:bookmarkStart w:id="1" w:name="_Toc26831"/>
      <w:r>
        <w:rPr>
          <w:rFonts w:hint="eastAsia" w:ascii="仿宋" w:hAnsi="仿宋" w:eastAsia="仿宋" w:cs="仿宋"/>
          <w:color w:val="000000" w:themeColor="text1"/>
          <w:sz w:val="32"/>
          <w:szCs w:val="32"/>
        </w:rPr>
        <w:t xml:space="preserve">   进一步完善绩效目标</w:t>
      </w:r>
      <w:bookmarkEnd w:id="0"/>
      <w:bookmarkEnd w:id="1"/>
      <w:r>
        <w:rPr>
          <w:rFonts w:hint="eastAsia" w:ascii="仿宋" w:hAnsi="仿宋" w:eastAsia="仿宋" w:cs="仿宋"/>
          <w:color w:val="000000" w:themeColor="text1"/>
          <w:sz w:val="32"/>
          <w:szCs w:val="32"/>
        </w:rPr>
        <w:t>的构建。预算编制是否合理、科学直接关系到经费使用过程中的成本控制和使用效果，也是体现部门工作能力和作风的重要方式。我所将进一步加强财政项目支出的预算管理意识，严格按照预算编制的相关要求，强化科学性、合理性、严谨性，进一步完善绩效目标的构建。</w:t>
      </w:r>
    </w:p>
    <w:p>
      <w:pPr>
        <w:spacing w:line="360" w:lineRule="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进一步完善对项目实施绩效的监管。</w:t>
      </w:r>
      <w:r>
        <w:rPr>
          <w:rFonts w:hint="eastAsia" w:ascii="仿宋" w:hAnsi="仿宋" w:eastAsia="仿宋" w:cs="仿宋"/>
          <w:color w:val="000000" w:themeColor="text1"/>
          <w:sz w:val="32"/>
          <w:szCs w:val="32"/>
        </w:rPr>
        <w:t>定期对本辖区道路清扫保洁经费进行监督检查，实时掌握经费支出的动态和项目运行情况，及时纠</w:t>
      </w:r>
      <w:bookmarkStart w:id="2" w:name="_GoBack"/>
      <w:bookmarkEnd w:id="2"/>
      <w:r>
        <w:rPr>
          <w:rFonts w:hint="eastAsia" w:ascii="仿宋" w:hAnsi="仿宋" w:eastAsia="仿宋" w:cs="仿宋"/>
          <w:color w:val="000000" w:themeColor="text1"/>
          <w:sz w:val="32"/>
          <w:szCs w:val="32"/>
        </w:rPr>
        <w:t>偏和整改，保证项目的运行轨迹，确保财政资金的使用绩效。</w:t>
      </w:r>
    </w:p>
    <w:p>
      <w:pPr>
        <w:spacing w:line="360" w:lineRule="auto"/>
        <w:rPr>
          <w:rFonts w:ascii="仿宋_GB2312" w:hAnsi="仿宋_GB2312" w:eastAsia="仿宋_GB2312" w:cs="仿宋_GB2312"/>
          <w:kern w:val="0"/>
          <w:sz w:val="32"/>
          <w:szCs w:val="30"/>
        </w:rPr>
      </w:pPr>
      <w:r>
        <w:rPr>
          <w:rFonts w:hint="eastAsia" w:ascii="仿宋" w:hAnsi="仿宋" w:eastAsia="仿宋" w:cs="仿宋"/>
          <w:color w:val="000000" w:themeColor="text1"/>
          <w:sz w:val="32"/>
          <w:szCs w:val="32"/>
        </w:rPr>
        <w:t>附：《项目支出绩效自评表》。</w:t>
      </w:r>
    </w:p>
    <w:tbl>
      <w:tblPr>
        <w:tblStyle w:val="5"/>
        <w:tblpPr w:leftFromText="180" w:rightFromText="180" w:vertAnchor="text" w:horzAnchor="page" w:tblpX="1092" w:tblpY="283"/>
        <w:tblOverlap w:val="never"/>
        <w:tblW w:w="19814" w:type="dxa"/>
        <w:tblInd w:w="0" w:type="dxa"/>
        <w:tblLayout w:type="fixed"/>
        <w:tblCellMar>
          <w:top w:w="0" w:type="dxa"/>
          <w:left w:w="108" w:type="dxa"/>
          <w:bottom w:w="0" w:type="dxa"/>
          <w:right w:w="108" w:type="dxa"/>
        </w:tblCellMar>
      </w:tblPr>
      <w:tblGrid>
        <w:gridCol w:w="640"/>
        <w:gridCol w:w="1084"/>
        <w:gridCol w:w="1080"/>
        <w:gridCol w:w="2631"/>
        <w:gridCol w:w="899"/>
        <w:gridCol w:w="890"/>
        <w:gridCol w:w="710"/>
        <w:gridCol w:w="710"/>
        <w:gridCol w:w="1263"/>
        <w:gridCol w:w="9907"/>
      </w:tblGrid>
      <w:tr>
        <w:tblPrEx>
          <w:tblCellMar>
            <w:top w:w="0" w:type="dxa"/>
            <w:left w:w="108" w:type="dxa"/>
            <w:bottom w:w="0" w:type="dxa"/>
            <w:right w:w="108" w:type="dxa"/>
          </w:tblCellMar>
        </w:tblPrEx>
        <w:trPr>
          <w:trHeight w:val="454" w:hRule="exact"/>
        </w:trPr>
        <w:tc>
          <w:tcPr>
            <w:tcW w:w="9907" w:type="dxa"/>
            <w:gridSpan w:val="9"/>
            <w:tcBorders>
              <w:top w:val="nil"/>
              <w:left w:val="nil"/>
              <w:bottom w:val="nil"/>
              <w:right w:val="nil"/>
            </w:tcBorders>
            <w:vAlign w:val="center"/>
          </w:tcPr>
          <w:p>
            <w:pPr>
              <w:widowControl/>
              <w:spacing w:line="400" w:lineRule="exac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0"/>
                <w:szCs w:val="30"/>
              </w:rPr>
              <w:t>项目支出绩效评价表</w:t>
            </w:r>
          </w:p>
        </w:tc>
        <w:tc>
          <w:tcPr>
            <w:tcW w:w="9907" w:type="dxa"/>
            <w:vMerge w:val="restart"/>
            <w:tcBorders>
              <w:top w:val="nil"/>
              <w:left w:val="nil"/>
              <w:right w:val="nil"/>
            </w:tcBorders>
            <w:vAlign w:val="center"/>
          </w:tcPr>
          <w:p>
            <w:pPr>
              <w:widowControl/>
              <w:spacing w:line="400" w:lineRule="exact"/>
              <w:jc w:val="center"/>
              <w:rPr>
                <w:rFonts w:ascii="方正小标宋简体" w:hAnsi="宋体" w:eastAsia="方正小标宋简体" w:cs="宋体"/>
                <w:bCs/>
                <w:kern w:val="0"/>
                <w:sz w:val="36"/>
                <w:szCs w:val="36"/>
              </w:rPr>
            </w:pPr>
          </w:p>
        </w:tc>
      </w:tr>
      <w:tr>
        <w:tblPrEx>
          <w:tblCellMar>
            <w:top w:w="0" w:type="dxa"/>
            <w:left w:w="108" w:type="dxa"/>
            <w:bottom w:w="0" w:type="dxa"/>
            <w:right w:w="108" w:type="dxa"/>
          </w:tblCellMar>
        </w:tblPrEx>
        <w:trPr>
          <w:trHeight w:val="201" w:hRule="atLeast"/>
        </w:trPr>
        <w:tc>
          <w:tcPr>
            <w:tcW w:w="9907" w:type="dxa"/>
            <w:gridSpan w:val="9"/>
            <w:tcBorders>
              <w:top w:val="nil"/>
              <w:left w:val="nil"/>
              <w:bottom w:val="nil"/>
              <w:right w:val="nil"/>
            </w:tcBorders>
          </w:tcPr>
          <w:p>
            <w:pPr>
              <w:widowControl/>
              <w:jc w:val="center"/>
              <w:rPr>
                <w:rFonts w:ascii="黑体" w:hAnsi="宋体" w:eastAsia="黑体" w:cs="宋体"/>
                <w:kern w:val="0"/>
                <w:szCs w:val="21"/>
              </w:rPr>
            </w:pPr>
            <w:r>
              <w:rPr>
                <w:rFonts w:hint="eastAsia" w:ascii="黑体" w:hAnsi="宋体" w:eastAsia="黑体" w:cs="宋体"/>
                <w:kern w:val="0"/>
                <w:szCs w:val="21"/>
              </w:rPr>
              <w:t>（2020年度）</w:t>
            </w:r>
          </w:p>
        </w:tc>
        <w:tc>
          <w:tcPr>
            <w:tcW w:w="9907" w:type="dxa"/>
            <w:vMerge w:val="continue"/>
            <w:tcBorders>
              <w:left w:val="nil"/>
              <w:right w:val="nil"/>
            </w:tcBorders>
          </w:tcPr>
          <w:p>
            <w:pPr>
              <w:widowControl/>
              <w:jc w:val="center"/>
              <w:rPr>
                <w:rFonts w:ascii="黑体" w:hAnsi="宋体" w:eastAsia="黑体" w:cs="宋体"/>
                <w:kern w:val="0"/>
                <w:szCs w:val="21"/>
              </w:rPr>
            </w:pPr>
          </w:p>
        </w:tc>
      </w:tr>
      <w:tr>
        <w:tblPrEx>
          <w:tblCellMar>
            <w:top w:w="0" w:type="dxa"/>
            <w:left w:w="108" w:type="dxa"/>
            <w:bottom w:w="0" w:type="dxa"/>
            <w:right w:w="108" w:type="dxa"/>
          </w:tblCellMar>
        </w:tblPrEx>
        <w:trPr>
          <w:trHeight w:val="260" w:hRule="exact"/>
        </w:trPr>
        <w:tc>
          <w:tcPr>
            <w:tcW w:w="64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年度总体目标</w:t>
            </w:r>
          </w:p>
        </w:tc>
        <w:tc>
          <w:tcPr>
            <w:tcW w:w="5694"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预期目标</w:t>
            </w:r>
          </w:p>
        </w:tc>
        <w:tc>
          <w:tcPr>
            <w:tcW w:w="357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实际完成情况</w:t>
            </w:r>
          </w:p>
        </w:tc>
        <w:tc>
          <w:tcPr>
            <w:tcW w:w="9907" w:type="dxa"/>
            <w:vMerge w:val="restart"/>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747" w:hRule="exact"/>
        </w:trPr>
        <w:tc>
          <w:tcPr>
            <w:tcW w:w="64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569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黑体" w:hAnsi="黑体" w:eastAsia="黑体" w:cs="黑体"/>
                <w:kern w:val="0"/>
                <w:sz w:val="18"/>
                <w:szCs w:val="18"/>
              </w:rPr>
            </w:pPr>
            <w:r>
              <w:rPr>
                <w:rFonts w:hint="eastAsia" w:ascii="黑体" w:hAnsi="黑体" w:eastAsia="黑体" w:cs="黑体"/>
                <w:szCs w:val="21"/>
              </w:rPr>
              <w:t>不断优化城市环境,努力塑造整洁、有序、文明的城市新形象，不断加大道路清扫保洁力度，扎实推进市容环卫管理，积极参与文明城市创建。</w:t>
            </w:r>
          </w:p>
        </w:tc>
        <w:tc>
          <w:tcPr>
            <w:tcW w:w="357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黑体"/>
                <w:kern w:val="0"/>
                <w:sz w:val="18"/>
                <w:szCs w:val="18"/>
              </w:rPr>
            </w:pPr>
            <w:r>
              <w:rPr>
                <w:rFonts w:hint="eastAsia" w:ascii="黑体" w:hAnsi="黑体" w:eastAsia="黑体" w:cs="黑体"/>
                <w:color w:val="000000"/>
                <w:szCs w:val="21"/>
              </w:rPr>
              <w:t>对本辖区管护范围进行清扫保洁。</w:t>
            </w:r>
          </w:p>
        </w:tc>
        <w:tc>
          <w:tcPr>
            <w:tcW w:w="9907" w:type="dxa"/>
            <w:vMerge w:val="continue"/>
            <w:tcBorders>
              <w:left w:val="nil"/>
              <w:right w:val="nil"/>
            </w:tcBorders>
            <w:vAlign w:val="center"/>
          </w:tcPr>
          <w:p>
            <w:pPr>
              <w:widowControl/>
              <w:spacing w:line="240" w:lineRule="exact"/>
              <w:ind w:firstLine="420" w:firstLineChars="200"/>
              <w:jc w:val="left"/>
              <w:rPr>
                <w:rFonts w:ascii="黑体" w:hAnsi="黑体" w:eastAsia="黑体" w:cs="黑体"/>
                <w:color w:val="000000"/>
                <w:szCs w:val="21"/>
              </w:rPr>
            </w:pPr>
          </w:p>
        </w:tc>
      </w:tr>
      <w:tr>
        <w:tblPrEx>
          <w:tblCellMar>
            <w:top w:w="0" w:type="dxa"/>
            <w:left w:w="108" w:type="dxa"/>
            <w:bottom w:w="0" w:type="dxa"/>
            <w:right w:w="108" w:type="dxa"/>
          </w:tblCellMar>
        </w:tblPrEx>
        <w:trPr>
          <w:trHeight w:val="843" w:hRule="exact"/>
        </w:trPr>
        <w:tc>
          <w:tcPr>
            <w:tcW w:w="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绩</w:t>
            </w:r>
            <w:r>
              <w:rPr>
                <w:rFonts w:hint="eastAsia" w:ascii="黑体" w:hAnsi="宋体" w:eastAsia="黑体" w:cs="宋体"/>
                <w:kern w:val="0"/>
                <w:szCs w:val="21"/>
              </w:rPr>
              <w:br w:type="textWrapping"/>
            </w:r>
            <w:r>
              <w:rPr>
                <w:rFonts w:hint="eastAsia" w:ascii="黑体" w:hAnsi="宋体" w:eastAsia="黑体" w:cs="宋体"/>
                <w:kern w:val="0"/>
                <w:szCs w:val="21"/>
              </w:rPr>
              <w:t>效</w:t>
            </w:r>
            <w:r>
              <w:rPr>
                <w:rFonts w:hint="eastAsia" w:ascii="黑体" w:hAnsi="宋体" w:eastAsia="黑体" w:cs="宋体"/>
                <w:kern w:val="0"/>
                <w:szCs w:val="21"/>
              </w:rPr>
              <w:br w:type="textWrapping"/>
            </w:r>
            <w:r>
              <w:rPr>
                <w:rFonts w:hint="eastAsia" w:ascii="黑体" w:hAnsi="宋体" w:eastAsia="黑体" w:cs="宋体"/>
                <w:kern w:val="0"/>
                <w:szCs w:val="21"/>
              </w:rPr>
              <w:t>指</w:t>
            </w:r>
            <w:r>
              <w:rPr>
                <w:rFonts w:hint="eastAsia" w:ascii="黑体" w:hAnsi="宋体" w:eastAsia="黑体" w:cs="宋体"/>
                <w:kern w:val="0"/>
                <w:szCs w:val="21"/>
              </w:rPr>
              <w:br w:type="textWrapping"/>
            </w:r>
            <w:r>
              <w:rPr>
                <w:rFonts w:hint="eastAsia" w:ascii="黑体" w:hAnsi="宋体" w:eastAsia="黑体" w:cs="宋体"/>
                <w:kern w:val="0"/>
                <w:szCs w:val="21"/>
              </w:rPr>
              <w:t>标</w:t>
            </w:r>
          </w:p>
        </w:tc>
        <w:tc>
          <w:tcPr>
            <w:tcW w:w="1084"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一级指标</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二级指标</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三级指标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指标值</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完成值</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分值</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得分</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黑体" w:hAnsi="宋体" w:eastAsia="黑体" w:cs="宋体"/>
                <w:kern w:val="0"/>
                <w:szCs w:val="21"/>
              </w:rPr>
            </w:pPr>
            <w:r>
              <w:rPr>
                <w:rFonts w:hint="eastAsia" w:ascii="黑体" w:hAnsi="宋体" w:eastAsia="黑体" w:cs="宋体"/>
                <w:kern w:val="0"/>
                <w:szCs w:val="21"/>
              </w:rPr>
              <w:t>偏差原因分析及改进措施</w:t>
            </w:r>
          </w:p>
        </w:tc>
        <w:tc>
          <w:tcPr>
            <w:tcW w:w="9907" w:type="dxa"/>
            <w:vMerge w:val="continue"/>
            <w:tcBorders>
              <w:left w:val="nil"/>
              <w:right w:val="nil"/>
            </w:tcBorders>
            <w:vAlign w:val="center"/>
          </w:tcPr>
          <w:p>
            <w:pPr>
              <w:widowControl/>
              <w:spacing w:line="240" w:lineRule="exact"/>
              <w:rPr>
                <w:rFonts w:ascii="黑体" w:hAnsi="宋体" w:eastAsia="黑体" w:cs="宋体"/>
                <w:kern w:val="0"/>
                <w:szCs w:val="21"/>
              </w:rPr>
            </w:pPr>
          </w:p>
        </w:tc>
      </w:tr>
      <w:tr>
        <w:tblPrEx>
          <w:tblCellMar>
            <w:top w:w="0" w:type="dxa"/>
            <w:left w:w="108" w:type="dxa"/>
            <w:bottom w:w="0" w:type="dxa"/>
            <w:right w:w="108" w:type="dxa"/>
          </w:tblCellMar>
        </w:tblPrEx>
        <w:trPr>
          <w:trHeight w:val="27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产出指标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（50分）</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数量指标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管护区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3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严控区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控制区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180" w:firstLineChars="100"/>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4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一般区面积</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180" w:firstLineChars="100"/>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2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质量指标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严控区道路清扫保洁达标率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r>
              <w:rPr>
                <w:rFonts w:hint="eastAsia" w:ascii="黑体" w:hAnsi="宋体" w:eastAsia="黑体" w:cs="宋体"/>
                <w:kern w:val="0"/>
                <w:sz w:val="15"/>
                <w:szCs w:val="15"/>
              </w:rPr>
              <w:t>辖区管护范围较大，存在盲点和遗留，在今后的工作中会加强监管</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4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控制区道路清扫保洁达标率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90%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一般区道路清扫保洁达标率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0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时效指标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质检一天2班</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2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道路保洁一天2班</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成本指标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sz w:val="18"/>
                <w:szCs w:val="18"/>
              </w:rPr>
              <w:t>严控区费用标准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sz w:val="18"/>
                <w:szCs w:val="18"/>
              </w:rPr>
            </w:pPr>
            <w:r>
              <w:rPr>
                <w:rFonts w:hint="eastAsia" w:ascii="黑体" w:hAnsi="黑体" w:eastAsia="黑体" w:cs="黑体"/>
                <w:sz w:val="18"/>
                <w:szCs w:val="18"/>
              </w:rPr>
              <w:t>控制区区费用标准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2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sz w:val="18"/>
                <w:szCs w:val="18"/>
              </w:rPr>
            </w:pPr>
            <w:r>
              <w:rPr>
                <w:rFonts w:hint="eastAsia" w:ascii="黑体" w:hAnsi="黑体" w:eastAsia="黑体" w:cs="黑体"/>
                <w:sz w:val="18"/>
                <w:szCs w:val="18"/>
              </w:rPr>
              <w:t>一般区费用标准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3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效益指标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（30分）</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社会效益</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          （15分）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为社会供提供就业岗位</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r>
              <w:rPr>
                <w:rFonts w:hint="eastAsia" w:ascii="黑体" w:hAnsi="宋体" w:eastAsia="黑体" w:cs="宋体"/>
                <w:kern w:val="0"/>
                <w:sz w:val="15"/>
                <w:szCs w:val="15"/>
              </w:rPr>
              <w:t>辖区管护面积较大，存在盲点和遗留，在今后的工作中会加强监管</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29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保持并提高辖区道路卫生状况</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4</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Cs w:val="21"/>
              </w:rPr>
            </w:pPr>
          </w:p>
        </w:tc>
      </w:tr>
      <w:tr>
        <w:tblPrEx>
          <w:tblCellMar>
            <w:top w:w="0" w:type="dxa"/>
            <w:left w:w="108" w:type="dxa"/>
            <w:bottom w:w="0" w:type="dxa"/>
            <w:right w:w="108" w:type="dxa"/>
          </w:tblCellMar>
        </w:tblPrEx>
        <w:trPr>
          <w:trHeight w:val="3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提升城市形象</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4</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7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生态效益指标  （10分）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提升道路净洁度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10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9</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7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可持续影响指标   （5分）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道路保洁考评机制长效实施</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124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满意度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服务对象满意度指标（10分）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社会公众满意度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9</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r>
              <w:rPr>
                <w:rFonts w:hint="eastAsia" w:ascii="黑体" w:hAnsi="宋体" w:eastAsia="黑体" w:cs="宋体"/>
                <w:kern w:val="0"/>
                <w:sz w:val="15"/>
                <w:szCs w:val="15"/>
              </w:rPr>
              <w:t>公众对道路保洁期望值高，我们在今后的工作中要不断提高质量要求。</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00" w:hRule="exact"/>
        </w:trPr>
        <w:tc>
          <w:tcPr>
            <w:tcW w:w="722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总分</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92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bottom w:val="nil"/>
              <w:right w:val="nil"/>
            </w:tcBorders>
            <w:vAlign w:val="center"/>
          </w:tcPr>
          <w:p>
            <w:pPr>
              <w:widowControl/>
              <w:spacing w:line="240" w:lineRule="exact"/>
              <w:jc w:val="center"/>
              <w:rPr>
                <w:rFonts w:ascii="黑体" w:hAnsi="宋体" w:eastAsia="黑体" w:cs="宋体"/>
                <w:kern w:val="0"/>
                <w:szCs w:val="21"/>
              </w:rPr>
            </w:pPr>
          </w:p>
        </w:tc>
      </w:tr>
    </w:tbl>
    <w:p>
      <w:pPr>
        <w:spacing w:line="360" w:lineRule="auto"/>
        <w:jc w:val="left"/>
        <w:rPr>
          <w:rFonts w:ascii="楷体" w:hAnsi="楷体" w:eastAsia="楷体" w:cs="楷体"/>
          <w:bCs/>
          <w:color w:val="000000" w:themeColor="text1"/>
          <w:kern w:val="0"/>
          <w:sz w:val="32"/>
          <w:szCs w:val="32"/>
        </w:rPr>
      </w:pPr>
      <w:r>
        <w:rPr>
          <w:rFonts w:hint="eastAsia" w:ascii="楷体" w:hAnsi="楷体" w:eastAsia="楷体" w:cs="楷体"/>
          <w:bCs/>
          <w:color w:val="000000" w:themeColor="text1"/>
          <w:kern w:val="0"/>
          <w:sz w:val="32"/>
          <w:szCs w:val="32"/>
        </w:rPr>
        <w:t xml:space="preserve">   </w:t>
      </w:r>
    </w:p>
    <w:p>
      <w:pPr>
        <w:widowControl/>
        <w:spacing w:line="600" w:lineRule="exact"/>
        <w:ind w:firstLine="630"/>
        <w:rPr>
          <w:rFonts w:ascii="仿宋_GB2312" w:hAnsi="仿宋_GB2312" w:eastAsia="仿宋_GB2312" w:cs="仿宋_GB2312"/>
          <w:kern w:val="0"/>
          <w:sz w:val="32"/>
          <w:szCs w:val="30"/>
        </w:rPr>
      </w:pPr>
    </w:p>
    <w:p>
      <w:pPr>
        <w:widowControl/>
        <w:spacing w:line="600" w:lineRule="exact"/>
        <w:ind w:firstLine="630"/>
        <w:rPr>
          <w:rFonts w:ascii="仿宋_GB2312" w:hAnsi="仿宋_GB2312" w:eastAsia="仿宋_GB2312" w:cs="仿宋_GB2312"/>
          <w:kern w:val="0"/>
          <w:sz w:val="32"/>
          <w:szCs w:val="30"/>
        </w:rPr>
      </w:pPr>
    </w:p>
    <w:p>
      <w:pPr>
        <w:spacing w:beforeLines="100" w:afterLines="100"/>
        <w:jc w:val="center"/>
        <w:rPr>
          <w:rFonts w:ascii="黑体" w:hAnsi="黑体" w:eastAsia="黑体"/>
          <w:bCs/>
          <w:sz w:val="32"/>
          <w:szCs w:val="32"/>
        </w:rPr>
      </w:pPr>
      <w:r>
        <w:rPr>
          <w:rFonts w:hint="eastAsia" w:ascii="黑体" w:hAnsi="黑体" w:eastAsia="黑体"/>
          <w:bCs/>
          <w:sz w:val="32"/>
          <w:szCs w:val="32"/>
        </w:rPr>
        <w:t>第四部分  名词解释</w:t>
      </w:r>
    </w:p>
    <w:p>
      <w:pPr>
        <w:widowControl/>
        <w:jc w:val="left"/>
        <w:textAlignment w:val="bottom"/>
        <w:rPr>
          <w:rFonts w:ascii="仿宋_GB2312" w:hAnsi="Arial" w:eastAsia="仿宋_GB2312" w:cs="仿宋_GB2312"/>
          <w:color w:val="000000"/>
          <w:sz w:val="32"/>
          <w:szCs w:val="32"/>
        </w:rPr>
      </w:pPr>
      <w:r>
        <w:rPr>
          <w:rFonts w:hint="eastAsia" w:ascii="仿宋_GB2312" w:hAnsi="仿宋_GB2312" w:eastAsia="仿宋_GB2312"/>
          <w:kern w:val="0"/>
          <w:sz w:val="32"/>
          <w:szCs w:val="30"/>
        </w:rPr>
        <w:t xml:space="preserve">   </w:t>
      </w:r>
      <w:r>
        <w:rPr>
          <w:rFonts w:ascii="仿宋_GB2312" w:hAnsi="Arial" w:eastAsia="仿宋_GB2312" w:cs="仿宋_GB2312"/>
          <w:color w:val="000000"/>
          <w:kern w:val="0"/>
          <w:sz w:val="32"/>
          <w:szCs w:val="32"/>
        </w:rPr>
        <w:t>一、收入科目</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（一）财政拨款：指上级财政当年拨付的资金。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（二）事业收入：指事业单位开展专业业务活动及辅助活动取得的收入。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（三）事业单位经营收入：指事业单位在专业业务活动及辅助活动之外开展非独立核算经营活动取得的收入。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（四）其他收入：指除财政拨款、事业收入、事业单位经营收入等以外的各项收入。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（五）上级补助收入：反映事业单位从主管部门和上级单位取得的非财政补助收入。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（六）用事业基金弥补收支差额：填列事业单位用事业基金弥补2019年收支差额的数额。</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（七）上年结转和结余：填列2020年全部结转和结余的资金数，包括当年结转结余资金和历年滚存结转结余资金。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二、支出科目</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1.一般公共服务支出（类）财政事务（款）行政运行（项）：反映各级财政行政单位（包括实行公务员管理的事业单位）的基本支出。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2.一般公共服务支出（类）财政事务（款）一般行政管理事务（项）：反映各级财政行政单位（包括实行公务员管理的事业单位）未单独设置项级科目的其他项目支出。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3.一般公共服务支出（类）财政事务（款）财政国库业务（项）：反映财政部门用于财政国库集中收付业务方面的支出。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4.一般公共服务支出（类）财政事务（款）事业运行（项）：反映财政事业单位的基本支出。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5.一般公共服务支出（类）财政事务（款）其他财政事务支出（项）：反映财政事业单位其他财政事务方面的支出。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6.社会保障和就业支出（类）行政单位离退休（款）机关事业单位基本养老保险缴费支出（项）：反映机关事业单位实施养老保险制度由单位缴纳的基本养老保险费支出。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7.社会保障和就业支出（类）行政单位离退休（款）机关事业单位职业年金缴费支出（项）：反映机关事业单位实施养老保险制度由单位实际缴纳的职业年金支出。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8.住房保障支出（类）住房改革支出（款）住房公积金（项）：反映行政事业单位按人力资源和社会保障部、财政部规定的基本工资和津补贴以及规定比例为职工缴纳的住房公积金。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9.住房保障支出（类）住房改革支出（款）购房补贴（项）：反映按房改政策规定，行政事业单位向符合条件职工（含离退休人员）、军队（含武警）向转役复员离退休人员发放的用于购买住房的补贴。</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widowControl/>
        <w:jc w:val="righ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二〇二一年八月八日</w:t>
      </w:r>
    </w:p>
    <w:p>
      <w:pPr>
        <w:spacing w:beforeLines="100" w:afterLines="100"/>
        <w:jc w:val="center"/>
        <w:rPr>
          <w:rFonts w:ascii="仿宋" w:hAnsi="仿宋" w:eastAsia="仿宋" w:cs="仿宋"/>
          <w:color w:val="000000"/>
          <w:sz w:val="32"/>
          <w:szCs w:val="32"/>
        </w:rPr>
      </w:pPr>
      <w:r>
        <w:rPr>
          <w:rFonts w:hint="eastAsia" w:ascii="黑体" w:hAnsi="黑体" w:eastAsia="黑体"/>
          <w:bCs/>
          <w:sz w:val="32"/>
          <w:szCs w:val="32"/>
        </w:rPr>
        <w:br w:type="page"/>
      </w:r>
    </w:p>
    <w:p>
      <w:pPr>
        <w:widowControl/>
        <w:spacing w:line="580" w:lineRule="exact"/>
        <w:jc w:val="left"/>
      </w:pPr>
      <w:r>
        <w:rPr>
          <w:rFonts w:hint="eastAsia" w:ascii="仿宋" w:hAnsi="仿宋" w:eastAsia="仿宋" w:cs="仿宋"/>
          <w:b/>
          <w:bCs/>
          <w:color w:val="000000"/>
          <w:kern w:val="0"/>
          <w:sz w:val="32"/>
          <w:szCs w:val="32"/>
        </w:rPr>
        <w:t xml:space="preserve"> </w:t>
      </w:r>
      <w:r>
        <w:rPr>
          <w:rFonts w:hint="eastAsia" w:ascii="仿宋" w:hAnsi="仿宋" w:eastAsia="仿宋" w:cs="仿宋"/>
          <w:b/>
          <w:bCs/>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QwNDExMGRlYzliNmE4MjkwZTdlMDQ5YjkzYTA3M2QifQ=="/>
  </w:docVars>
  <w:rsids>
    <w:rsidRoot w:val="004A7FDB"/>
    <w:rsid w:val="000048C8"/>
    <w:rsid w:val="00011CF6"/>
    <w:rsid w:val="0008321B"/>
    <w:rsid w:val="0009131D"/>
    <w:rsid w:val="000A206B"/>
    <w:rsid w:val="000C1303"/>
    <w:rsid w:val="00127138"/>
    <w:rsid w:val="00136839"/>
    <w:rsid w:val="001E0D2B"/>
    <w:rsid w:val="002375C0"/>
    <w:rsid w:val="00285281"/>
    <w:rsid w:val="00351CA8"/>
    <w:rsid w:val="0036059D"/>
    <w:rsid w:val="003902FA"/>
    <w:rsid w:val="003C4A72"/>
    <w:rsid w:val="0042096E"/>
    <w:rsid w:val="0043106A"/>
    <w:rsid w:val="00446E48"/>
    <w:rsid w:val="004604A8"/>
    <w:rsid w:val="00467587"/>
    <w:rsid w:val="004A7FDB"/>
    <w:rsid w:val="004C3C35"/>
    <w:rsid w:val="004D4AE9"/>
    <w:rsid w:val="004D7493"/>
    <w:rsid w:val="004E6DC4"/>
    <w:rsid w:val="004F5793"/>
    <w:rsid w:val="00505A46"/>
    <w:rsid w:val="00517E7B"/>
    <w:rsid w:val="00542859"/>
    <w:rsid w:val="00573D56"/>
    <w:rsid w:val="005B6DFC"/>
    <w:rsid w:val="005D1737"/>
    <w:rsid w:val="005D453D"/>
    <w:rsid w:val="00610318"/>
    <w:rsid w:val="006147B3"/>
    <w:rsid w:val="00663244"/>
    <w:rsid w:val="006A05C3"/>
    <w:rsid w:val="007167E2"/>
    <w:rsid w:val="007312A4"/>
    <w:rsid w:val="007428E9"/>
    <w:rsid w:val="007448C6"/>
    <w:rsid w:val="00815154"/>
    <w:rsid w:val="008A2DA6"/>
    <w:rsid w:val="008B0F03"/>
    <w:rsid w:val="008B2754"/>
    <w:rsid w:val="00917E36"/>
    <w:rsid w:val="0096285A"/>
    <w:rsid w:val="0098612B"/>
    <w:rsid w:val="009B30F3"/>
    <w:rsid w:val="00A202A0"/>
    <w:rsid w:val="00A90AC1"/>
    <w:rsid w:val="00AC4D43"/>
    <w:rsid w:val="00B53ACD"/>
    <w:rsid w:val="00B90511"/>
    <w:rsid w:val="00BB7B17"/>
    <w:rsid w:val="00BD6767"/>
    <w:rsid w:val="00BE02B3"/>
    <w:rsid w:val="00BE7360"/>
    <w:rsid w:val="00C55ED9"/>
    <w:rsid w:val="00C64EA3"/>
    <w:rsid w:val="00CA0366"/>
    <w:rsid w:val="00CD0C71"/>
    <w:rsid w:val="00D10BEF"/>
    <w:rsid w:val="00D34C0D"/>
    <w:rsid w:val="00D51818"/>
    <w:rsid w:val="00D70B43"/>
    <w:rsid w:val="00DF4567"/>
    <w:rsid w:val="00E14B56"/>
    <w:rsid w:val="00EC2BE8"/>
    <w:rsid w:val="00F04FB3"/>
    <w:rsid w:val="00F7257F"/>
    <w:rsid w:val="00F86EFA"/>
    <w:rsid w:val="00FC248E"/>
    <w:rsid w:val="00FF011D"/>
    <w:rsid w:val="16EA1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b/>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p0"/>
    <w:basedOn w:val="1"/>
    <w:uiPriority w:val="0"/>
    <w:pPr>
      <w:widowControl/>
    </w:pPr>
    <w:rPr>
      <w:kern w:val="0"/>
      <w:szCs w:val="21"/>
    </w:rPr>
  </w:style>
  <w:style w:type="character" w:customStyle="1" w:styleId="8">
    <w:name w:val="页眉 Char"/>
    <w:basedOn w:val="6"/>
    <w:link w:val="4"/>
    <w:uiPriority w:val="99"/>
    <w:rPr>
      <w:rFonts w:ascii="Times New Roman" w:hAnsi="Times New Roman" w:eastAsia="宋体" w:cs="Times New Roman"/>
      <w:sz w:val="18"/>
      <w:szCs w:val="18"/>
    </w:rPr>
  </w:style>
  <w:style w:type="character" w:customStyle="1" w:styleId="9">
    <w:name w:val="页脚 Char"/>
    <w:basedOn w:val="6"/>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13</Pages>
  <Words>4947</Words>
  <Characters>5314</Characters>
  <Lines>43</Lines>
  <Paragraphs>12</Paragraphs>
  <TotalTime>1</TotalTime>
  <ScaleCrop>false</ScaleCrop>
  <LinksUpToDate>false</LinksUpToDate>
  <CharactersWithSpaces>5737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2022-05-15T03:27:00Z</dcterms:created>
  <dc:creator>微软用户</dc:creator>
  <cp:lastModifiedBy>Deity</cp:lastModifiedBy>
  <dcterms:modified xsi:type="dcterms:W3CDTF">2022-05-16T11:54:34Z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B187D9B0F0D045A4A374441E732FF6A4</vt:lpwstr>
  </property>
</Properties>
</file>